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040" w:type="dxa"/>
        <w:tblInd w:w="2" w:type="dxa"/>
        <w:tblLook w:val="04A0" w:firstRow="1" w:lastRow="0" w:firstColumn="1" w:lastColumn="0" w:noHBand="0" w:noVBand="1"/>
      </w:tblPr>
      <w:tblGrid>
        <w:gridCol w:w="1535"/>
        <w:gridCol w:w="2356"/>
        <w:gridCol w:w="6592"/>
        <w:gridCol w:w="2557"/>
      </w:tblGrid>
      <w:tr w:rsidR="0041317E" w:rsidRPr="0041317E" w14:paraId="12C22AB5" w14:textId="77777777" w:rsidTr="0041317E">
        <w:trPr>
          <w:trHeight w:val="312"/>
        </w:trPr>
        <w:tc>
          <w:tcPr>
            <w:tcW w:w="1349" w:type="dxa"/>
            <w:tcBorders>
              <w:top w:val="single" w:sz="4" w:space="0" w:color="auto"/>
              <w:left w:val="single" w:sz="4" w:space="0" w:color="auto"/>
              <w:bottom w:val="single" w:sz="4" w:space="0" w:color="auto"/>
              <w:right w:val="single" w:sz="4" w:space="0" w:color="auto"/>
            </w:tcBorders>
            <w:shd w:val="clear" w:color="auto" w:fill="auto"/>
            <w:hideMark/>
          </w:tcPr>
          <w:p w14:paraId="04DD20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single" w:sz="4" w:space="0" w:color="auto"/>
              <w:left w:val="nil"/>
              <w:bottom w:val="single" w:sz="4" w:space="0" w:color="auto"/>
              <w:right w:val="single" w:sz="4" w:space="0" w:color="auto"/>
            </w:tcBorders>
            <w:shd w:val="clear" w:color="auto" w:fill="auto"/>
            <w:hideMark/>
          </w:tcPr>
          <w:p w14:paraId="322DA1F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single" w:sz="4" w:space="0" w:color="auto"/>
              <w:left w:val="nil"/>
              <w:bottom w:val="single" w:sz="4" w:space="0" w:color="auto"/>
              <w:right w:val="single" w:sz="4" w:space="0" w:color="auto"/>
            </w:tcBorders>
            <w:shd w:val="clear" w:color="auto" w:fill="auto"/>
            <w:hideMark/>
          </w:tcPr>
          <w:p w14:paraId="1BAC233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single" w:sz="4" w:space="0" w:color="auto"/>
              <w:left w:val="nil"/>
              <w:bottom w:val="single" w:sz="4" w:space="0" w:color="auto"/>
              <w:right w:val="single" w:sz="4" w:space="0" w:color="auto"/>
            </w:tcBorders>
            <w:shd w:val="clear" w:color="auto" w:fill="auto"/>
            <w:hideMark/>
          </w:tcPr>
          <w:p w14:paraId="35D04A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EC9974" w14:textId="77777777" w:rsidTr="0041317E">
        <w:trPr>
          <w:trHeight w:val="1848"/>
        </w:trPr>
        <w:tc>
          <w:tcPr>
            <w:tcW w:w="1349" w:type="dxa"/>
            <w:tcBorders>
              <w:top w:val="nil"/>
              <w:left w:val="single" w:sz="4" w:space="0" w:color="auto"/>
              <w:bottom w:val="single" w:sz="4" w:space="0" w:color="auto"/>
              <w:right w:val="single" w:sz="4" w:space="0" w:color="auto"/>
            </w:tcBorders>
            <w:shd w:val="clear" w:color="auto" w:fill="auto"/>
            <w:hideMark/>
          </w:tcPr>
          <w:p w14:paraId="3DED0F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76F41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36"/>
                <w:szCs w:val="36"/>
                <w14:ligatures w14:val="none"/>
              </w:rPr>
            </w:pPr>
            <w:r w:rsidRPr="0041317E">
              <w:rPr>
                <w:rFonts w:ascii="Calibri Light" w:eastAsia="Times New Roman" w:hAnsi="Calibri Light" w:cs="Calibri Light"/>
                <w:b/>
                <w:bCs/>
                <w:color w:val="000000"/>
                <w:kern w:val="0"/>
                <w:sz w:val="36"/>
                <w:szCs w:val="36"/>
                <w14:ligatures w14:val="none"/>
              </w:rPr>
              <w:t>Prime     Book    One :</w:t>
            </w:r>
          </w:p>
        </w:tc>
        <w:tc>
          <w:tcPr>
            <w:tcW w:w="6762" w:type="dxa"/>
            <w:tcBorders>
              <w:top w:val="nil"/>
              <w:left w:val="nil"/>
              <w:bottom w:val="single" w:sz="4" w:space="0" w:color="auto"/>
              <w:right w:val="single" w:sz="4" w:space="0" w:color="auto"/>
            </w:tcBorders>
            <w:shd w:val="clear" w:color="auto" w:fill="auto"/>
            <w:hideMark/>
          </w:tcPr>
          <w:p w14:paraId="507DED9E" w14:textId="77777777" w:rsidR="0041317E" w:rsidRPr="0041317E" w:rsidRDefault="0041317E" w:rsidP="0041317E">
            <w:pPr>
              <w:spacing w:after="0" w:line="240" w:lineRule="auto"/>
              <w:rPr>
                <w:rFonts w:ascii="Calibri Light" w:eastAsia="Times New Roman" w:hAnsi="Calibri Light" w:cs="Calibri Light"/>
                <w:color w:val="000000"/>
                <w:kern w:val="0"/>
                <w:sz w:val="36"/>
                <w:szCs w:val="36"/>
                <w14:ligatures w14:val="none"/>
              </w:rPr>
            </w:pPr>
            <w:r w:rsidRPr="0041317E">
              <w:rPr>
                <w:rFonts w:ascii="Calibri Light" w:eastAsia="Times New Roman" w:hAnsi="Calibri Light" w:cs="Calibri Light"/>
                <w:color w:val="000000"/>
                <w:kern w:val="0"/>
                <w:sz w:val="36"/>
                <w:szCs w:val="36"/>
                <w14:ligatures w14:val="none"/>
              </w:rPr>
              <w:t>Framework for Crowd Sourcing Crowd Funding:</w:t>
            </w:r>
          </w:p>
        </w:tc>
        <w:tc>
          <w:tcPr>
            <w:tcW w:w="2566" w:type="dxa"/>
            <w:tcBorders>
              <w:top w:val="nil"/>
              <w:left w:val="nil"/>
              <w:bottom w:val="single" w:sz="4" w:space="0" w:color="auto"/>
              <w:right w:val="single" w:sz="4" w:space="0" w:color="auto"/>
            </w:tcBorders>
            <w:shd w:val="clear" w:color="auto" w:fill="auto"/>
            <w:hideMark/>
          </w:tcPr>
          <w:p w14:paraId="0A119E25" w14:textId="77777777" w:rsidR="0041317E" w:rsidRPr="0041317E" w:rsidRDefault="0041317E" w:rsidP="0041317E">
            <w:pPr>
              <w:spacing w:after="0" w:line="240" w:lineRule="auto"/>
              <w:rPr>
                <w:rFonts w:ascii="Calibri Light" w:eastAsia="Times New Roman" w:hAnsi="Calibri Light" w:cs="Calibri Light"/>
                <w:i/>
                <w:iCs/>
                <w:color w:val="000000"/>
                <w:kern w:val="0"/>
                <w:sz w:val="36"/>
                <w:szCs w:val="36"/>
                <w14:ligatures w14:val="none"/>
              </w:rPr>
            </w:pPr>
            <w:r w:rsidRPr="0041317E">
              <w:rPr>
                <w:rFonts w:ascii="Calibri Light" w:eastAsia="Times New Roman" w:hAnsi="Calibri Light" w:cs="Calibri Light"/>
                <w:i/>
                <w:iCs/>
                <w:color w:val="000000"/>
                <w:kern w:val="0"/>
                <w:sz w:val="36"/>
                <w:szCs w:val="36"/>
                <w14:ligatures w14:val="none"/>
              </w:rPr>
              <w:t xml:space="preserve">for a Scientific Project on Counting Primes. </w:t>
            </w:r>
          </w:p>
        </w:tc>
      </w:tr>
      <w:tr w:rsidR="0041317E" w:rsidRPr="0041317E" w14:paraId="5F2939E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FC7D0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A33F1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4B91D2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CA0C8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15CE49" w14:textId="77777777" w:rsidTr="0041317E">
        <w:trPr>
          <w:trHeight w:val="576"/>
        </w:trPr>
        <w:tc>
          <w:tcPr>
            <w:tcW w:w="1349" w:type="dxa"/>
            <w:tcBorders>
              <w:top w:val="nil"/>
              <w:left w:val="single" w:sz="4" w:space="0" w:color="auto"/>
              <w:bottom w:val="single" w:sz="4" w:space="0" w:color="auto"/>
              <w:right w:val="single" w:sz="4" w:space="0" w:color="auto"/>
            </w:tcBorders>
            <w:shd w:val="clear" w:color="auto" w:fill="auto"/>
            <w:hideMark/>
          </w:tcPr>
          <w:p w14:paraId="4B9E3B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5FE07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326D2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(5/8/24 Preview Foundation Generated Guidelines Ver 005)</w:t>
            </w:r>
          </w:p>
        </w:tc>
        <w:tc>
          <w:tcPr>
            <w:tcW w:w="2566" w:type="dxa"/>
            <w:tcBorders>
              <w:top w:val="nil"/>
              <w:left w:val="nil"/>
              <w:bottom w:val="single" w:sz="4" w:space="0" w:color="auto"/>
              <w:right w:val="single" w:sz="4" w:space="0" w:color="auto"/>
            </w:tcBorders>
            <w:shd w:val="clear" w:color="auto" w:fill="auto"/>
            <w:hideMark/>
          </w:tcPr>
          <w:p w14:paraId="2E922EAF" w14:textId="77777777" w:rsidR="0041317E" w:rsidRPr="0041317E" w:rsidRDefault="0041317E" w:rsidP="0041317E">
            <w:pPr>
              <w:spacing w:after="0" w:line="240" w:lineRule="auto"/>
              <w:rPr>
                <w:rFonts w:ascii="Calibri Light" w:eastAsia="Times New Roman" w:hAnsi="Calibri Light" w:cs="Calibri Light"/>
                <w:i/>
                <w:iCs/>
                <w:color w:val="000000"/>
                <w:kern w:val="0"/>
                <w:u w:val="single"/>
                <w14:ligatures w14:val="none"/>
              </w:rPr>
            </w:pPr>
            <w:r w:rsidRPr="0041317E">
              <w:rPr>
                <w:rFonts w:ascii="Calibri Light" w:eastAsia="Times New Roman" w:hAnsi="Calibri Light" w:cs="Calibri Light"/>
                <w:i/>
                <w:iCs/>
                <w:color w:val="000000"/>
                <w:kern w:val="0"/>
                <w:u w:val="single"/>
                <w14:ligatures w14:val="none"/>
              </w:rPr>
              <w:t>Founder Jason Brodsky Refinement There Upon</w:t>
            </w:r>
          </w:p>
        </w:tc>
      </w:tr>
      <w:tr w:rsidR="0041317E" w:rsidRPr="0041317E" w14:paraId="6874410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49790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99D5F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B357D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03E13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F845A5" w14:textId="77777777" w:rsidTr="0041317E">
        <w:trPr>
          <w:trHeight w:val="4032"/>
        </w:trPr>
        <w:tc>
          <w:tcPr>
            <w:tcW w:w="1349" w:type="dxa"/>
            <w:tcBorders>
              <w:top w:val="nil"/>
              <w:left w:val="single" w:sz="4" w:space="0" w:color="auto"/>
              <w:bottom w:val="single" w:sz="4" w:space="0" w:color="auto"/>
              <w:right w:val="single" w:sz="4" w:space="0" w:color="auto"/>
            </w:tcBorders>
            <w:shd w:val="clear" w:color="auto" w:fill="auto"/>
            <w:hideMark/>
          </w:tcPr>
          <w:p w14:paraId="4EF09DA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7FDC5F7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4820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This section provides a brief description of the scientific project, explaining why counting primes is significant and how it could contribute to mathematical understanding or real-world applications.</w:t>
            </w:r>
          </w:p>
        </w:tc>
        <w:tc>
          <w:tcPr>
            <w:tcW w:w="2566" w:type="dxa"/>
            <w:tcBorders>
              <w:top w:val="nil"/>
              <w:left w:val="nil"/>
              <w:bottom w:val="single" w:sz="4" w:space="0" w:color="auto"/>
              <w:right w:val="single" w:sz="4" w:space="0" w:color="auto"/>
            </w:tcBorders>
            <w:shd w:val="clear" w:color="auto" w:fill="auto"/>
            <w:hideMark/>
          </w:tcPr>
          <w:p w14:paraId="1E04F35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Description: Multi-Point Self-Distributed Networked Synchronous Growing Prime Difference Database.  Signifigance: Quick and Simple Extraction of Targeted Documented Primes.  Applications: Scientific number frequency base filter, compression, data transfer, prime-dimensional digital environment building.</w:t>
            </w:r>
          </w:p>
        </w:tc>
      </w:tr>
      <w:tr w:rsidR="0041317E" w:rsidRPr="0041317E" w14:paraId="5CC3D7BB" w14:textId="77777777" w:rsidTr="0041317E">
        <w:trPr>
          <w:trHeight w:val="2880"/>
        </w:trPr>
        <w:tc>
          <w:tcPr>
            <w:tcW w:w="1349" w:type="dxa"/>
            <w:tcBorders>
              <w:top w:val="nil"/>
              <w:left w:val="single" w:sz="4" w:space="0" w:color="auto"/>
              <w:bottom w:val="single" w:sz="4" w:space="0" w:color="auto"/>
              <w:right w:val="single" w:sz="4" w:space="0" w:color="auto"/>
            </w:tcBorders>
            <w:shd w:val="clear" w:color="auto" w:fill="auto"/>
            <w:hideMark/>
          </w:tcPr>
          <w:p w14:paraId="55949A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40EA30B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5AD9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Define the specific goals and objectives of the project, including the milestones you aim to achieve. This helps potential funders understand what their contributions will support and the impact the project aims to make.</w:t>
            </w:r>
          </w:p>
        </w:tc>
        <w:tc>
          <w:tcPr>
            <w:tcW w:w="2566" w:type="dxa"/>
            <w:tcBorders>
              <w:top w:val="nil"/>
              <w:left w:val="nil"/>
              <w:bottom w:val="single" w:sz="4" w:space="0" w:color="auto"/>
              <w:right w:val="single" w:sz="4" w:space="0" w:color="auto"/>
            </w:tcBorders>
            <w:shd w:val="clear" w:color="auto" w:fill="auto"/>
            <w:hideMark/>
          </w:tcPr>
          <w:p w14:paraId="7F5436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Goals Objectives: Create a system of autonomous prime searching networks that distribute their tasks and allow for proof-of-find certificate user exchanges.  Each user account has a history of finds ability to trade and gift find certificates.</w:t>
            </w:r>
          </w:p>
        </w:tc>
      </w:tr>
      <w:tr w:rsidR="0041317E" w:rsidRPr="0041317E" w14:paraId="1FA37C02" w14:textId="77777777" w:rsidTr="0041317E">
        <w:trPr>
          <w:trHeight w:val="1728"/>
        </w:trPr>
        <w:tc>
          <w:tcPr>
            <w:tcW w:w="1349" w:type="dxa"/>
            <w:tcBorders>
              <w:top w:val="nil"/>
              <w:left w:val="single" w:sz="4" w:space="0" w:color="auto"/>
              <w:bottom w:val="single" w:sz="4" w:space="0" w:color="auto"/>
              <w:right w:val="single" w:sz="4" w:space="0" w:color="auto"/>
            </w:tcBorders>
            <w:shd w:val="clear" w:color="auto" w:fill="auto"/>
            <w:hideMark/>
          </w:tcPr>
          <w:p w14:paraId="603805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602EBD7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28890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Identify the target audience for the crowd funding campaign. This could include individuals interested in mathematics, education, scientific research, or technology enthusiasts.</w:t>
            </w:r>
          </w:p>
        </w:tc>
        <w:tc>
          <w:tcPr>
            <w:tcW w:w="2566" w:type="dxa"/>
            <w:tcBorders>
              <w:top w:val="nil"/>
              <w:left w:val="nil"/>
              <w:bottom w:val="single" w:sz="4" w:space="0" w:color="auto"/>
              <w:right w:val="single" w:sz="4" w:space="0" w:color="auto"/>
            </w:tcBorders>
            <w:shd w:val="clear" w:color="auto" w:fill="auto"/>
            <w:hideMark/>
          </w:tcPr>
          <w:p w14:paraId="3A1DAD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Prime Education: Multi-Disciplinary Scientific Data Analysis Tools.  Prime Business: Data Archival.  Prime Individual: Enthusiasts</w:t>
            </w:r>
          </w:p>
        </w:tc>
      </w:tr>
      <w:tr w:rsidR="0041317E" w:rsidRPr="0041317E" w14:paraId="738F29E9" w14:textId="77777777" w:rsidTr="0041317E">
        <w:trPr>
          <w:trHeight w:val="3168"/>
        </w:trPr>
        <w:tc>
          <w:tcPr>
            <w:tcW w:w="1349" w:type="dxa"/>
            <w:tcBorders>
              <w:top w:val="nil"/>
              <w:left w:val="single" w:sz="4" w:space="0" w:color="auto"/>
              <w:bottom w:val="single" w:sz="4" w:space="0" w:color="auto"/>
              <w:right w:val="single" w:sz="4" w:space="0" w:color="auto"/>
            </w:tcBorders>
            <w:shd w:val="clear" w:color="auto" w:fill="auto"/>
            <w:hideMark/>
          </w:tcPr>
          <w:p w14:paraId="5DD91D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6D427B3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7D6AE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Clearly articulate the value proposition for potential funders. Explain what sets this project apart, why it's important, and how it aligns with the interests or values of the target audience.</w:t>
            </w:r>
          </w:p>
        </w:tc>
        <w:tc>
          <w:tcPr>
            <w:tcW w:w="2566" w:type="dxa"/>
            <w:tcBorders>
              <w:top w:val="nil"/>
              <w:left w:val="nil"/>
              <w:bottom w:val="single" w:sz="4" w:space="0" w:color="auto"/>
              <w:right w:val="single" w:sz="4" w:space="0" w:color="auto"/>
            </w:tcBorders>
            <w:shd w:val="clear" w:color="auto" w:fill="auto"/>
            <w:hideMark/>
          </w:tcPr>
          <w:p w14:paraId="287A36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Primes are free numbers of the universe.  PrimeBookOne Finding and trading them perhaps we can make a market.  Utilizing them with a separate PrimeTools App to Compress, Transmit, Analyze data, would be the marketable application as a service product.</w:t>
            </w:r>
          </w:p>
        </w:tc>
      </w:tr>
      <w:tr w:rsidR="0041317E" w:rsidRPr="0041317E" w14:paraId="70C6CA2F" w14:textId="77777777" w:rsidTr="0041317E">
        <w:trPr>
          <w:trHeight w:val="1032"/>
        </w:trPr>
        <w:tc>
          <w:tcPr>
            <w:tcW w:w="1349" w:type="dxa"/>
            <w:tcBorders>
              <w:top w:val="nil"/>
              <w:left w:val="single" w:sz="4" w:space="0" w:color="auto"/>
              <w:bottom w:val="single" w:sz="4" w:space="0" w:color="auto"/>
              <w:right w:val="single" w:sz="4" w:space="0" w:color="auto"/>
            </w:tcBorders>
            <w:shd w:val="clear" w:color="auto" w:fill="auto"/>
            <w:hideMark/>
          </w:tcPr>
          <w:p w14:paraId="5647C4E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1A59DC7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6B6F1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Choose the appropriate crowd funding platform(s) to host the campaign. Consider platforms like Kickstarter, Indiegogo, GoFundMe, or specialized science funding platforms.</w:t>
            </w:r>
          </w:p>
        </w:tc>
        <w:tc>
          <w:tcPr>
            <w:tcW w:w="2566" w:type="dxa"/>
            <w:tcBorders>
              <w:top w:val="nil"/>
              <w:left w:val="nil"/>
              <w:bottom w:val="single" w:sz="4" w:space="0" w:color="auto"/>
              <w:right w:val="single" w:sz="4" w:space="0" w:color="auto"/>
            </w:tcBorders>
            <w:shd w:val="clear" w:color="auto" w:fill="auto"/>
            <w:hideMark/>
          </w:tcPr>
          <w:p w14:paraId="28917F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F9424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5476B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700450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9F32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a detailed plan for the crowd funding campaign, including the duration, funding goal, rewards for backers, marketing strategy, and outreach tactics.</w:t>
            </w:r>
          </w:p>
        </w:tc>
        <w:tc>
          <w:tcPr>
            <w:tcW w:w="2566" w:type="dxa"/>
            <w:tcBorders>
              <w:top w:val="nil"/>
              <w:left w:val="nil"/>
              <w:bottom w:val="single" w:sz="4" w:space="0" w:color="auto"/>
              <w:right w:val="single" w:sz="4" w:space="0" w:color="auto"/>
            </w:tcBorders>
            <w:shd w:val="clear" w:color="auto" w:fill="auto"/>
            <w:hideMark/>
          </w:tcPr>
          <w:p w14:paraId="265F9C3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Funding Goal: Dual EPYC Computer with RAM</w:t>
            </w:r>
          </w:p>
        </w:tc>
      </w:tr>
      <w:tr w:rsidR="0041317E" w:rsidRPr="0041317E" w14:paraId="4C7CA07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17146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7. Communication Strategy: </w:t>
            </w:r>
          </w:p>
        </w:tc>
        <w:tc>
          <w:tcPr>
            <w:tcW w:w="2363" w:type="dxa"/>
            <w:tcBorders>
              <w:top w:val="nil"/>
              <w:left w:val="nil"/>
              <w:bottom w:val="single" w:sz="4" w:space="0" w:color="auto"/>
              <w:right w:val="single" w:sz="4" w:space="0" w:color="auto"/>
            </w:tcBorders>
            <w:shd w:val="clear" w:color="auto" w:fill="auto"/>
            <w:hideMark/>
          </w:tcPr>
          <w:p w14:paraId="31B08E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4BF4F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Outline how you will communicate with potential backers throughout the campaign. This includes social media outreach, email newsletters, press releases, and updates on the project's progress.</w:t>
            </w:r>
          </w:p>
        </w:tc>
        <w:tc>
          <w:tcPr>
            <w:tcW w:w="2566" w:type="dxa"/>
            <w:tcBorders>
              <w:top w:val="nil"/>
              <w:left w:val="nil"/>
              <w:bottom w:val="single" w:sz="4" w:space="0" w:color="auto"/>
              <w:right w:val="single" w:sz="4" w:space="0" w:color="auto"/>
            </w:tcBorders>
            <w:shd w:val="clear" w:color="auto" w:fill="auto"/>
            <w:hideMark/>
          </w:tcPr>
          <w:p w14:paraId="4601C2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Each backer and investor could receive a user account</w:t>
            </w:r>
          </w:p>
        </w:tc>
      </w:tr>
      <w:tr w:rsidR="0041317E" w:rsidRPr="0041317E" w14:paraId="5DCED45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425CC7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8. Budget and Funding Allocation: </w:t>
            </w:r>
          </w:p>
        </w:tc>
        <w:tc>
          <w:tcPr>
            <w:tcW w:w="2363" w:type="dxa"/>
            <w:tcBorders>
              <w:top w:val="nil"/>
              <w:left w:val="nil"/>
              <w:bottom w:val="single" w:sz="4" w:space="0" w:color="auto"/>
              <w:right w:val="single" w:sz="4" w:space="0" w:color="auto"/>
            </w:tcBorders>
            <w:shd w:val="clear" w:color="auto" w:fill="auto"/>
            <w:hideMark/>
          </w:tcPr>
          <w:p w14:paraId="192241D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44563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a breakdown of the project budget, including research expenses, equipment costs, personnel salaries, and any other relevant expenditures. Also, specify how the funds raised will be allocated to support the project's objectives.</w:t>
            </w:r>
          </w:p>
        </w:tc>
        <w:tc>
          <w:tcPr>
            <w:tcW w:w="2566" w:type="dxa"/>
            <w:tcBorders>
              <w:top w:val="nil"/>
              <w:left w:val="nil"/>
              <w:bottom w:val="single" w:sz="4" w:space="0" w:color="auto"/>
              <w:right w:val="single" w:sz="4" w:space="0" w:color="auto"/>
            </w:tcBorders>
            <w:shd w:val="clear" w:color="auto" w:fill="auto"/>
            <w:hideMark/>
          </w:tcPr>
          <w:p w14:paraId="22ACE4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0F7060" w14:textId="77777777" w:rsidTr="0041317E">
        <w:trPr>
          <w:trHeight w:val="1032"/>
        </w:trPr>
        <w:tc>
          <w:tcPr>
            <w:tcW w:w="1349" w:type="dxa"/>
            <w:tcBorders>
              <w:top w:val="nil"/>
              <w:left w:val="single" w:sz="4" w:space="0" w:color="auto"/>
              <w:bottom w:val="single" w:sz="4" w:space="0" w:color="auto"/>
              <w:right w:val="single" w:sz="4" w:space="0" w:color="auto"/>
            </w:tcBorders>
            <w:shd w:val="clear" w:color="auto" w:fill="auto"/>
            <w:hideMark/>
          </w:tcPr>
          <w:p w14:paraId="62B4C64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9. Risk Assessment and Mitigation: </w:t>
            </w:r>
          </w:p>
        </w:tc>
        <w:tc>
          <w:tcPr>
            <w:tcW w:w="2363" w:type="dxa"/>
            <w:tcBorders>
              <w:top w:val="nil"/>
              <w:left w:val="nil"/>
              <w:bottom w:val="single" w:sz="4" w:space="0" w:color="auto"/>
              <w:right w:val="single" w:sz="4" w:space="0" w:color="auto"/>
            </w:tcBorders>
            <w:shd w:val="clear" w:color="auto" w:fill="auto"/>
            <w:hideMark/>
          </w:tcPr>
          <w:p w14:paraId="4C266B6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F231D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Identify potential risks and challenges associated with the project or the crowd funding campaign, and outline strategies to mitigate these risks.</w:t>
            </w:r>
          </w:p>
        </w:tc>
        <w:tc>
          <w:tcPr>
            <w:tcW w:w="2566" w:type="dxa"/>
            <w:tcBorders>
              <w:top w:val="nil"/>
              <w:left w:val="nil"/>
              <w:bottom w:val="single" w:sz="4" w:space="0" w:color="auto"/>
              <w:right w:val="single" w:sz="4" w:space="0" w:color="auto"/>
            </w:tcBorders>
            <w:shd w:val="clear" w:color="auto" w:fill="auto"/>
            <w:hideMark/>
          </w:tcPr>
          <w:p w14:paraId="7E6E06F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F14B01" w14:textId="77777777" w:rsidTr="0041317E">
        <w:trPr>
          <w:trHeight w:val="774"/>
        </w:trPr>
        <w:tc>
          <w:tcPr>
            <w:tcW w:w="1349" w:type="dxa"/>
            <w:tcBorders>
              <w:top w:val="nil"/>
              <w:left w:val="single" w:sz="4" w:space="0" w:color="auto"/>
              <w:bottom w:val="single" w:sz="4" w:space="0" w:color="auto"/>
              <w:right w:val="single" w:sz="4" w:space="0" w:color="auto"/>
            </w:tcBorders>
            <w:shd w:val="clear" w:color="auto" w:fill="auto"/>
            <w:hideMark/>
          </w:tcPr>
          <w:p w14:paraId="115709F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10. Ethical Considerations: </w:t>
            </w:r>
          </w:p>
        </w:tc>
        <w:tc>
          <w:tcPr>
            <w:tcW w:w="2363" w:type="dxa"/>
            <w:tcBorders>
              <w:top w:val="nil"/>
              <w:left w:val="nil"/>
              <w:bottom w:val="single" w:sz="4" w:space="0" w:color="auto"/>
              <w:right w:val="single" w:sz="4" w:space="0" w:color="auto"/>
            </w:tcBorders>
            <w:shd w:val="clear" w:color="auto" w:fill="auto"/>
            <w:hideMark/>
          </w:tcPr>
          <w:p w14:paraId="532507B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A5D4E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Discuss any ethical considerations related to the project, such as data privacy, consent, and potential impacts on society or the environment.</w:t>
            </w:r>
          </w:p>
        </w:tc>
        <w:tc>
          <w:tcPr>
            <w:tcW w:w="2566" w:type="dxa"/>
            <w:tcBorders>
              <w:top w:val="nil"/>
              <w:left w:val="nil"/>
              <w:bottom w:val="single" w:sz="4" w:space="0" w:color="auto"/>
              <w:right w:val="single" w:sz="4" w:space="0" w:color="auto"/>
            </w:tcBorders>
            <w:shd w:val="clear" w:color="auto" w:fill="auto"/>
            <w:hideMark/>
          </w:tcPr>
          <w:p w14:paraId="4AE602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13137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7D76B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54925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7F81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9520A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8EF45B" w14:textId="77777777" w:rsidTr="0041317E">
        <w:trPr>
          <w:trHeight w:val="3744"/>
        </w:trPr>
        <w:tc>
          <w:tcPr>
            <w:tcW w:w="1349" w:type="dxa"/>
            <w:tcBorders>
              <w:top w:val="nil"/>
              <w:left w:val="single" w:sz="4" w:space="0" w:color="auto"/>
              <w:bottom w:val="single" w:sz="4" w:space="0" w:color="auto"/>
              <w:right w:val="single" w:sz="4" w:space="0" w:color="auto"/>
            </w:tcBorders>
            <w:shd w:val="clear" w:color="auto" w:fill="auto"/>
            <w:hideMark/>
          </w:tcPr>
          <w:p w14:paraId="11DDAF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009A908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A7ABC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This section provides a brief description of the scientific project, explaining why counting primes is significant and how it could contribute to mathematical understanding or real-world applications.</w:t>
            </w:r>
          </w:p>
        </w:tc>
        <w:tc>
          <w:tcPr>
            <w:tcW w:w="2566" w:type="dxa"/>
            <w:tcBorders>
              <w:top w:val="nil"/>
              <w:left w:val="nil"/>
              <w:bottom w:val="single" w:sz="4" w:space="0" w:color="auto"/>
              <w:right w:val="single" w:sz="4" w:space="0" w:color="auto"/>
            </w:tcBorders>
            <w:shd w:val="clear" w:color="auto" w:fill="auto"/>
            <w:hideMark/>
          </w:tcPr>
          <w:p w14:paraId="6F7549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Description: Multi-Point Self-Distributed Networked Synchronous Growing Prime Difference Database.  Signifigance: Quick and Simple Extraction of Targeted Documented Primes.  Applications: Scientific number frequency base filter, compression, data transfer, prime-dimensional digital environment building.</w:t>
            </w:r>
          </w:p>
        </w:tc>
      </w:tr>
      <w:tr w:rsidR="0041317E" w:rsidRPr="0041317E" w14:paraId="53ED7928" w14:textId="77777777" w:rsidTr="0041317E">
        <w:trPr>
          <w:trHeight w:val="2808"/>
        </w:trPr>
        <w:tc>
          <w:tcPr>
            <w:tcW w:w="1349" w:type="dxa"/>
            <w:tcBorders>
              <w:top w:val="nil"/>
              <w:left w:val="single" w:sz="4" w:space="0" w:color="auto"/>
              <w:bottom w:val="single" w:sz="4" w:space="0" w:color="auto"/>
              <w:right w:val="single" w:sz="4" w:space="0" w:color="auto"/>
            </w:tcBorders>
            <w:shd w:val="clear" w:color="auto" w:fill="auto"/>
            <w:hideMark/>
          </w:tcPr>
          <w:p w14:paraId="6440F0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45BD8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Description: </w:t>
            </w:r>
          </w:p>
        </w:tc>
        <w:tc>
          <w:tcPr>
            <w:tcW w:w="6762" w:type="dxa"/>
            <w:tcBorders>
              <w:top w:val="nil"/>
              <w:left w:val="nil"/>
              <w:bottom w:val="single" w:sz="4" w:space="0" w:color="auto"/>
              <w:right w:val="single" w:sz="4" w:space="0" w:color="auto"/>
            </w:tcBorders>
            <w:shd w:val="clear" w:color="auto" w:fill="auto"/>
            <w:hideMark/>
          </w:tcPr>
          <w:p w14:paraId="50858A3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project aims to develop a Multi-Point Self-Distributed Networked Synchronous Growing Prime Difference Database. This database will serve as a centralized repository for storing and organizing prime numbers, with a focus on efficiently extracting targeted documented primes.  By developing a Multi-Point Self-Distributed Networked Synchronous Growing Prime Difference Database, the project aims to address the need for efficient prime number extraction, offering a valuable resource for scientific research, data analysis, compression, data transfer, and digital environment building.</w:t>
            </w:r>
          </w:p>
        </w:tc>
        <w:tc>
          <w:tcPr>
            <w:tcW w:w="2566" w:type="dxa"/>
            <w:tcBorders>
              <w:top w:val="nil"/>
              <w:left w:val="nil"/>
              <w:bottom w:val="single" w:sz="4" w:space="0" w:color="auto"/>
              <w:right w:val="single" w:sz="4" w:space="0" w:color="auto"/>
            </w:tcBorders>
            <w:shd w:val="clear" w:color="auto" w:fill="auto"/>
            <w:hideMark/>
          </w:tcPr>
          <w:p w14:paraId="2E1418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678840" w14:textId="77777777" w:rsidTr="0041317E">
        <w:trPr>
          <w:trHeight w:val="366"/>
        </w:trPr>
        <w:tc>
          <w:tcPr>
            <w:tcW w:w="1349" w:type="dxa"/>
            <w:tcBorders>
              <w:top w:val="nil"/>
              <w:left w:val="single" w:sz="4" w:space="0" w:color="auto"/>
              <w:bottom w:val="single" w:sz="4" w:space="0" w:color="auto"/>
              <w:right w:val="single" w:sz="4" w:space="0" w:color="auto"/>
            </w:tcBorders>
            <w:shd w:val="clear" w:color="auto" w:fill="auto"/>
            <w:hideMark/>
          </w:tcPr>
          <w:p w14:paraId="584DD9F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AF717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Significance:</w:t>
            </w:r>
          </w:p>
        </w:tc>
        <w:tc>
          <w:tcPr>
            <w:tcW w:w="6762" w:type="dxa"/>
            <w:tcBorders>
              <w:top w:val="nil"/>
              <w:left w:val="nil"/>
              <w:bottom w:val="single" w:sz="4" w:space="0" w:color="auto"/>
              <w:right w:val="single" w:sz="4" w:space="0" w:color="auto"/>
            </w:tcBorders>
            <w:shd w:val="clear" w:color="auto" w:fill="auto"/>
            <w:hideMark/>
          </w:tcPr>
          <w:p w14:paraId="0EA06D1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B8618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E59DD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8E2C23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42607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Quick and Simple Extraction of Targeted Documented Primes: </w:t>
            </w:r>
          </w:p>
        </w:tc>
        <w:tc>
          <w:tcPr>
            <w:tcW w:w="6762" w:type="dxa"/>
            <w:tcBorders>
              <w:top w:val="nil"/>
              <w:left w:val="nil"/>
              <w:bottom w:val="single" w:sz="4" w:space="0" w:color="auto"/>
              <w:right w:val="single" w:sz="4" w:space="0" w:color="auto"/>
            </w:tcBorders>
            <w:shd w:val="clear" w:color="auto" w:fill="auto"/>
            <w:hideMark/>
          </w:tcPr>
          <w:p w14:paraId="437BD25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Traditional methods of extracting prime numbers from large datasets can be time-consuming and computationally intensive. By leveraging the proposed database, researchers and practitioners can quickly and easily retrieve specific primes of interest, streamlining data analysis and computational tasks.</w:t>
            </w:r>
          </w:p>
        </w:tc>
        <w:tc>
          <w:tcPr>
            <w:tcW w:w="2566" w:type="dxa"/>
            <w:tcBorders>
              <w:top w:val="nil"/>
              <w:left w:val="nil"/>
              <w:bottom w:val="single" w:sz="4" w:space="0" w:color="auto"/>
              <w:right w:val="single" w:sz="4" w:space="0" w:color="auto"/>
            </w:tcBorders>
            <w:shd w:val="clear" w:color="auto" w:fill="auto"/>
            <w:hideMark/>
          </w:tcPr>
          <w:p w14:paraId="0041C3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7233C3" w14:textId="77777777" w:rsidTr="0041317E">
        <w:trPr>
          <w:trHeight w:val="366"/>
        </w:trPr>
        <w:tc>
          <w:tcPr>
            <w:tcW w:w="1349" w:type="dxa"/>
            <w:tcBorders>
              <w:top w:val="nil"/>
              <w:left w:val="single" w:sz="4" w:space="0" w:color="auto"/>
              <w:bottom w:val="single" w:sz="4" w:space="0" w:color="auto"/>
              <w:right w:val="single" w:sz="4" w:space="0" w:color="auto"/>
            </w:tcBorders>
            <w:shd w:val="clear" w:color="auto" w:fill="auto"/>
            <w:hideMark/>
          </w:tcPr>
          <w:p w14:paraId="04E46D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37E22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Applications:</w:t>
            </w:r>
          </w:p>
        </w:tc>
        <w:tc>
          <w:tcPr>
            <w:tcW w:w="6762" w:type="dxa"/>
            <w:tcBorders>
              <w:top w:val="nil"/>
              <w:left w:val="nil"/>
              <w:bottom w:val="single" w:sz="4" w:space="0" w:color="auto"/>
              <w:right w:val="single" w:sz="4" w:space="0" w:color="auto"/>
            </w:tcBorders>
            <w:shd w:val="clear" w:color="auto" w:fill="auto"/>
            <w:hideMark/>
          </w:tcPr>
          <w:p w14:paraId="5CEB39D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71616B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C5AAC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9388C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61516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Scientific Number Frequency Base Filter: </w:t>
            </w:r>
          </w:p>
        </w:tc>
        <w:tc>
          <w:tcPr>
            <w:tcW w:w="6762" w:type="dxa"/>
            <w:tcBorders>
              <w:top w:val="nil"/>
              <w:left w:val="nil"/>
              <w:bottom w:val="single" w:sz="4" w:space="0" w:color="auto"/>
              <w:right w:val="single" w:sz="4" w:space="0" w:color="auto"/>
            </w:tcBorders>
            <w:shd w:val="clear" w:color="auto" w:fill="auto"/>
            <w:hideMark/>
          </w:tcPr>
          <w:p w14:paraId="757D646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database can be used as a foundational tool for filtering and analyzing numerical data based on prime number frequencies. This can have applications in various scientific fields such as physics, biology, and economics, where prime numbers play a significant role in modeling natural phenomena and patterns.</w:t>
            </w:r>
          </w:p>
        </w:tc>
        <w:tc>
          <w:tcPr>
            <w:tcW w:w="2566" w:type="dxa"/>
            <w:tcBorders>
              <w:top w:val="nil"/>
              <w:left w:val="nil"/>
              <w:bottom w:val="single" w:sz="4" w:space="0" w:color="auto"/>
              <w:right w:val="single" w:sz="4" w:space="0" w:color="auto"/>
            </w:tcBorders>
            <w:shd w:val="clear" w:color="auto" w:fill="auto"/>
            <w:hideMark/>
          </w:tcPr>
          <w:p w14:paraId="6681271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83D5E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13431D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69A1E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Compression: </w:t>
            </w:r>
          </w:p>
        </w:tc>
        <w:tc>
          <w:tcPr>
            <w:tcW w:w="6762" w:type="dxa"/>
            <w:tcBorders>
              <w:top w:val="nil"/>
              <w:left w:val="nil"/>
              <w:bottom w:val="single" w:sz="4" w:space="0" w:color="auto"/>
              <w:right w:val="single" w:sz="4" w:space="0" w:color="auto"/>
            </w:tcBorders>
            <w:shd w:val="clear" w:color="auto" w:fill="auto"/>
            <w:hideMark/>
          </w:tcPr>
          <w:p w14:paraId="21752B1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have unique properties that make them ideal for data compression algorithms. The database can be utilized to optimize compression techniques by efficiently storing and retrieving prime number representations, leading to more effective data compression and storage solutions.</w:t>
            </w:r>
          </w:p>
        </w:tc>
        <w:tc>
          <w:tcPr>
            <w:tcW w:w="2566" w:type="dxa"/>
            <w:tcBorders>
              <w:top w:val="nil"/>
              <w:left w:val="nil"/>
              <w:bottom w:val="single" w:sz="4" w:space="0" w:color="auto"/>
              <w:right w:val="single" w:sz="4" w:space="0" w:color="auto"/>
            </w:tcBorders>
            <w:shd w:val="clear" w:color="auto" w:fill="auto"/>
            <w:hideMark/>
          </w:tcPr>
          <w:p w14:paraId="27028A6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77B87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7B2B6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0C1D9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Data Transfer: </w:t>
            </w:r>
          </w:p>
        </w:tc>
        <w:tc>
          <w:tcPr>
            <w:tcW w:w="6762" w:type="dxa"/>
            <w:tcBorders>
              <w:top w:val="nil"/>
              <w:left w:val="nil"/>
              <w:bottom w:val="single" w:sz="4" w:space="0" w:color="auto"/>
              <w:right w:val="single" w:sz="4" w:space="0" w:color="auto"/>
            </w:tcBorders>
            <w:shd w:val="clear" w:color="auto" w:fill="auto"/>
            <w:hideMark/>
          </w:tcPr>
          <w:p w14:paraId="61D87FC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also used in cryptographic protocols for secure data transfer. The database can facilitate the generation and management of encryption keys based on prime number factors, enhancing the security and efficiency of data transfer protocols in communication networks.</w:t>
            </w:r>
          </w:p>
        </w:tc>
        <w:tc>
          <w:tcPr>
            <w:tcW w:w="2566" w:type="dxa"/>
            <w:tcBorders>
              <w:top w:val="nil"/>
              <w:left w:val="nil"/>
              <w:bottom w:val="single" w:sz="4" w:space="0" w:color="auto"/>
              <w:right w:val="single" w:sz="4" w:space="0" w:color="auto"/>
            </w:tcBorders>
            <w:shd w:val="clear" w:color="auto" w:fill="auto"/>
            <w:hideMark/>
          </w:tcPr>
          <w:p w14:paraId="49AABF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47C1D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9EB97C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296C4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Prime-Dimensional Digital Environment Building: </w:t>
            </w:r>
          </w:p>
        </w:tc>
        <w:tc>
          <w:tcPr>
            <w:tcW w:w="6762" w:type="dxa"/>
            <w:tcBorders>
              <w:top w:val="nil"/>
              <w:left w:val="nil"/>
              <w:bottom w:val="single" w:sz="4" w:space="0" w:color="auto"/>
              <w:right w:val="single" w:sz="4" w:space="0" w:color="auto"/>
            </w:tcBorders>
            <w:shd w:val="clear" w:color="auto" w:fill="auto"/>
            <w:hideMark/>
          </w:tcPr>
          <w:p w14:paraId="262BBD3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have been explored as a foundational element for constructing digital environments and simulations due to their unique properties and distribution patterns. The database can support the creation and management of prime-dimensional digital environments for various applications, including virtual reality, gaming, and computational modeling.</w:t>
            </w:r>
          </w:p>
        </w:tc>
        <w:tc>
          <w:tcPr>
            <w:tcW w:w="2566" w:type="dxa"/>
            <w:tcBorders>
              <w:top w:val="nil"/>
              <w:left w:val="nil"/>
              <w:bottom w:val="single" w:sz="4" w:space="0" w:color="auto"/>
              <w:right w:val="single" w:sz="4" w:space="0" w:color="auto"/>
            </w:tcBorders>
            <w:shd w:val="clear" w:color="auto" w:fill="auto"/>
            <w:hideMark/>
          </w:tcPr>
          <w:p w14:paraId="770747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F3637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4E375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55224B9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Introduction to Prime Numbers: </w:t>
            </w:r>
          </w:p>
        </w:tc>
        <w:tc>
          <w:tcPr>
            <w:tcW w:w="6762" w:type="dxa"/>
            <w:tcBorders>
              <w:top w:val="nil"/>
              <w:left w:val="nil"/>
              <w:bottom w:val="single" w:sz="4" w:space="0" w:color="auto"/>
              <w:right w:val="single" w:sz="4" w:space="0" w:color="auto"/>
            </w:tcBorders>
            <w:shd w:val="clear" w:color="auto" w:fill="auto"/>
            <w:hideMark/>
          </w:tcPr>
          <w:p w14:paraId="1FBB9D5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Start by introducing prime numbers and their significance in mathematics. Explain that prime numbers are natural numbers greater than 1 that have no positive divisors other than 1 and themselves. Provide examples of prime numbers and explain basic properties.</w:t>
            </w:r>
          </w:p>
        </w:tc>
        <w:tc>
          <w:tcPr>
            <w:tcW w:w="2566" w:type="dxa"/>
            <w:tcBorders>
              <w:top w:val="nil"/>
              <w:left w:val="nil"/>
              <w:bottom w:val="single" w:sz="4" w:space="0" w:color="auto"/>
              <w:right w:val="single" w:sz="4" w:space="0" w:color="auto"/>
            </w:tcBorders>
            <w:shd w:val="clear" w:color="auto" w:fill="auto"/>
            <w:hideMark/>
          </w:tcPr>
          <w:p w14:paraId="7B8F6A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364AC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F3BB4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7B39E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Introduction to Prime Numbers:</w:t>
            </w:r>
          </w:p>
        </w:tc>
        <w:tc>
          <w:tcPr>
            <w:tcW w:w="6762" w:type="dxa"/>
            <w:tcBorders>
              <w:top w:val="nil"/>
              <w:left w:val="nil"/>
              <w:bottom w:val="single" w:sz="4" w:space="0" w:color="auto"/>
              <w:right w:val="single" w:sz="4" w:space="0" w:color="auto"/>
            </w:tcBorders>
            <w:shd w:val="clear" w:color="auto" w:fill="auto"/>
            <w:hideMark/>
          </w:tcPr>
          <w:p w14:paraId="6268FE7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0F670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B9CFD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2DF0E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2EDCE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DDC27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xml:space="preserve">Prime numbers hold significant importance in mathematics due to their unique properties and fundamental role in number theory. They are natural numbers greater than 1 that have exactly two distinct positive divisors: 1 and themselves. Here's a breakdown of their significance: </w:t>
            </w:r>
          </w:p>
        </w:tc>
        <w:tc>
          <w:tcPr>
            <w:tcW w:w="2566" w:type="dxa"/>
            <w:tcBorders>
              <w:top w:val="nil"/>
              <w:left w:val="nil"/>
              <w:bottom w:val="single" w:sz="4" w:space="0" w:color="auto"/>
              <w:right w:val="single" w:sz="4" w:space="0" w:color="auto"/>
            </w:tcBorders>
            <w:shd w:val="clear" w:color="auto" w:fill="auto"/>
            <w:hideMark/>
          </w:tcPr>
          <w:p w14:paraId="787A37C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9E780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A6828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EF406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Definition: </w:t>
            </w:r>
          </w:p>
        </w:tc>
        <w:tc>
          <w:tcPr>
            <w:tcW w:w="6762" w:type="dxa"/>
            <w:tcBorders>
              <w:top w:val="nil"/>
              <w:left w:val="nil"/>
              <w:bottom w:val="single" w:sz="4" w:space="0" w:color="auto"/>
              <w:right w:val="single" w:sz="4" w:space="0" w:color="auto"/>
            </w:tcBorders>
            <w:shd w:val="clear" w:color="auto" w:fill="auto"/>
            <w:hideMark/>
          </w:tcPr>
          <w:p w14:paraId="6D87CC7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the building blocks of the natural numbers. They cannot be formed by multiplying two smaller natural numbers other than 1 and themselves. This property distinguishes them from composite numbers, which can be factored into smaller primes.</w:t>
            </w:r>
          </w:p>
        </w:tc>
        <w:tc>
          <w:tcPr>
            <w:tcW w:w="2566" w:type="dxa"/>
            <w:tcBorders>
              <w:top w:val="nil"/>
              <w:left w:val="nil"/>
              <w:bottom w:val="single" w:sz="4" w:space="0" w:color="auto"/>
              <w:right w:val="single" w:sz="4" w:space="0" w:color="auto"/>
            </w:tcBorders>
            <w:shd w:val="clear" w:color="auto" w:fill="auto"/>
            <w:hideMark/>
          </w:tcPr>
          <w:p w14:paraId="0DBD0C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7CD41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26F04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11396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Examples: </w:t>
            </w:r>
          </w:p>
        </w:tc>
        <w:tc>
          <w:tcPr>
            <w:tcW w:w="6762" w:type="dxa"/>
            <w:tcBorders>
              <w:top w:val="nil"/>
              <w:left w:val="nil"/>
              <w:bottom w:val="single" w:sz="4" w:space="0" w:color="auto"/>
              <w:right w:val="single" w:sz="4" w:space="0" w:color="auto"/>
            </w:tcBorders>
            <w:shd w:val="clear" w:color="auto" w:fill="auto"/>
            <w:hideMark/>
          </w:tcPr>
          <w:p w14:paraId="27D4F97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examples of prime numbers, such as 2, 3, 5, 7, 11, 13, and so on. Highlight that prime numbers continue infinitely and are distributed irregularly throughout the number line.</w:t>
            </w:r>
          </w:p>
        </w:tc>
        <w:tc>
          <w:tcPr>
            <w:tcW w:w="2566" w:type="dxa"/>
            <w:tcBorders>
              <w:top w:val="nil"/>
              <w:left w:val="nil"/>
              <w:bottom w:val="single" w:sz="4" w:space="0" w:color="auto"/>
              <w:right w:val="single" w:sz="4" w:space="0" w:color="auto"/>
            </w:tcBorders>
            <w:shd w:val="clear" w:color="auto" w:fill="auto"/>
            <w:hideMark/>
          </w:tcPr>
          <w:p w14:paraId="30742A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669A3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6E13A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9844E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Basic Properties:</w:t>
            </w:r>
          </w:p>
        </w:tc>
        <w:tc>
          <w:tcPr>
            <w:tcW w:w="6762" w:type="dxa"/>
            <w:tcBorders>
              <w:top w:val="nil"/>
              <w:left w:val="nil"/>
              <w:bottom w:val="single" w:sz="4" w:space="0" w:color="auto"/>
              <w:right w:val="single" w:sz="4" w:space="0" w:color="auto"/>
            </w:tcBorders>
            <w:shd w:val="clear" w:color="auto" w:fill="auto"/>
            <w:hideMark/>
          </w:tcPr>
          <w:p w14:paraId="4198014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F75AC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7651A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B3603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33D39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949936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are indivisible: They cannot be divided evenly by any other number except 1 and themselves.</w:t>
            </w:r>
          </w:p>
        </w:tc>
        <w:tc>
          <w:tcPr>
            <w:tcW w:w="2566" w:type="dxa"/>
            <w:tcBorders>
              <w:top w:val="nil"/>
              <w:left w:val="nil"/>
              <w:bottom w:val="single" w:sz="4" w:space="0" w:color="auto"/>
              <w:right w:val="single" w:sz="4" w:space="0" w:color="auto"/>
            </w:tcBorders>
            <w:shd w:val="clear" w:color="auto" w:fill="auto"/>
            <w:hideMark/>
          </w:tcPr>
          <w:p w14:paraId="76A9F7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3C279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32787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97611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74E48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Every natural number greater than 1 can be expressed uniquely as a product of prime factors, known as the fundamental theorem of arithmetic.</w:t>
            </w:r>
          </w:p>
        </w:tc>
        <w:tc>
          <w:tcPr>
            <w:tcW w:w="2566" w:type="dxa"/>
            <w:tcBorders>
              <w:top w:val="nil"/>
              <w:left w:val="nil"/>
              <w:bottom w:val="single" w:sz="4" w:space="0" w:color="auto"/>
              <w:right w:val="single" w:sz="4" w:space="0" w:color="auto"/>
            </w:tcBorders>
            <w:shd w:val="clear" w:color="auto" w:fill="auto"/>
            <w:hideMark/>
          </w:tcPr>
          <w:p w14:paraId="6F7017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E854B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0C7B4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6B557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8BAC9C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play a crucial role in various mathematical concepts and applications, including factorization, cryptography, number theory, and algorithms.</w:t>
            </w:r>
          </w:p>
        </w:tc>
        <w:tc>
          <w:tcPr>
            <w:tcW w:w="2566" w:type="dxa"/>
            <w:tcBorders>
              <w:top w:val="nil"/>
              <w:left w:val="nil"/>
              <w:bottom w:val="single" w:sz="4" w:space="0" w:color="auto"/>
              <w:right w:val="single" w:sz="4" w:space="0" w:color="auto"/>
            </w:tcBorders>
            <w:shd w:val="clear" w:color="auto" w:fill="auto"/>
            <w:hideMark/>
          </w:tcPr>
          <w:p w14:paraId="40DB30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7B3FC1"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305C1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EF45B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52A32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Understanding prime numbers is essential for various mathematical disciplines and real-world applications. They form the basis for cryptographic algorithms used in secure communication, prime factorization methods for data encryption, and algorithms for optimizing computational processes. Additionally, prime numbers have intrigued mathematicians for centuries, leading to the discovery of new patterns, conjectures, and theorems in number theory.</w:t>
            </w:r>
          </w:p>
        </w:tc>
        <w:tc>
          <w:tcPr>
            <w:tcW w:w="2566" w:type="dxa"/>
            <w:tcBorders>
              <w:top w:val="nil"/>
              <w:left w:val="nil"/>
              <w:bottom w:val="single" w:sz="4" w:space="0" w:color="auto"/>
              <w:right w:val="single" w:sz="4" w:space="0" w:color="auto"/>
            </w:tcBorders>
            <w:shd w:val="clear" w:color="auto" w:fill="auto"/>
            <w:hideMark/>
          </w:tcPr>
          <w:p w14:paraId="0949B3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46CB6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249CD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4FCC0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451E17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introducing prime numbers and their significance, the project aims to lay the foundation for exploring advanced concepts related to prime number theory, data analysis, and real-world applications in scientific research and technology.</w:t>
            </w:r>
          </w:p>
        </w:tc>
        <w:tc>
          <w:tcPr>
            <w:tcW w:w="2566" w:type="dxa"/>
            <w:tcBorders>
              <w:top w:val="nil"/>
              <w:left w:val="nil"/>
              <w:bottom w:val="single" w:sz="4" w:space="0" w:color="auto"/>
              <w:right w:val="single" w:sz="4" w:space="0" w:color="auto"/>
            </w:tcBorders>
            <w:shd w:val="clear" w:color="auto" w:fill="auto"/>
            <w:hideMark/>
          </w:tcPr>
          <w:p w14:paraId="64432D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2E60F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6F6C9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A2AFD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4168E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6177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43C52D" w14:textId="77777777" w:rsidTr="0041317E">
        <w:trPr>
          <w:trHeight w:val="2304"/>
        </w:trPr>
        <w:tc>
          <w:tcPr>
            <w:tcW w:w="1349" w:type="dxa"/>
            <w:tcBorders>
              <w:top w:val="nil"/>
              <w:left w:val="single" w:sz="4" w:space="0" w:color="auto"/>
              <w:bottom w:val="single" w:sz="4" w:space="0" w:color="auto"/>
              <w:right w:val="single" w:sz="4" w:space="0" w:color="auto"/>
            </w:tcBorders>
            <w:shd w:val="clear" w:color="auto" w:fill="auto"/>
            <w:hideMark/>
          </w:tcPr>
          <w:p w14:paraId="344AC6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33B04C3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Significance of Counting Primes: </w:t>
            </w:r>
          </w:p>
        </w:tc>
        <w:tc>
          <w:tcPr>
            <w:tcW w:w="6762" w:type="dxa"/>
            <w:tcBorders>
              <w:top w:val="nil"/>
              <w:left w:val="nil"/>
              <w:bottom w:val="single" w:sz="4" w:space="0" w:color="auto"/>
              <w:right w:val="single" w:sz="4" w:space="0" w:color="auto"/>
            </w:tcBorders>
            <w:shd w:val="clear" w:color="auto" w:fill="auto"/>
            <w:hideMark/>
          </w:tcPr>
          <w:p w14:paraId="0D67D16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Discuss why counting primes is important in mathematics. Highlight how the distribution of prime numbers is a fundamental problem in number theory with implications in various mathematical fields such as cryptography, computer science, and algorithms.</w:t>
            </w:r>
          </w:p>
        </w:tc>
        <w:tc>
          <w:tcPr>
            <w:tcW w:w="2566" w:type="dxa"/>
            <w:tcBorders>
              <w:top w:val="nil"/>
              <w:left w:val="nil"/>
              <w:bottom w:val="single" w:sz="4" w:space="0" w:color="auto"/>
              <w:right w:val="single" w:sz="4" w:space="0" w:color="auto"/>
            </w:tcBorders>
            <w:shd w:val="clear" w:color="auto" w:fill="auto"/>
            <w:hideMark/>
          </w:tcPr>
          <w:p w14:paraId="62D897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Every Mathematical function contains primes.    A very large number can be represented as being in proximity to an existing prime.  We are all unique representations of a prime expression.</w:t>
            </w:r>
          </w:p>
        </w:tc>
      </w:tr>
      <w:tr w:rsidR="0041317E" w:rsidRPr="0041317E" w14:paraId="3AF96E0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F009F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BA3E0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Importance in Mathematics:</w:t>
            </w:r>
          </w:p>
        </w:tc>
        <w:tc>
          <w:tcPr>
            <w:tcW w:w="6762" w:type="dxa"/>
            <w:tcBorders>
              <w:top w:val="nil"/>
              <w:left w:val="nil"/>
              <w:bottom w:val="single" w:sz="4" w:space="0" w:color="auto"/>
              <w:right w:val="single" w:sz="4" w:space="0" w:color="auto"/>
            </w:tcBorders>
            <w:shd w:val="clear" w:color="auto" w:fill="auto"/>
            <w:hideMark/>
          </w:tcPr>
          <w:p w14:paraId="0EEAD72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Counting primes is crucial in mathematics due to the fundamental role prime numbers play in various mathematical fields. Here's a detailed exploration of its significance:</w:t>
            </w:r>
          </w:p>
        </w:tc>
        <w:tc>
          <w:tcPr>
            <w:tcW w:w="2566" w:type="dxa"/>
            <w:tcBorders>
              <w:top w:val="nil"/>
              <w:left w:val="nil"/>
              <w:bottom w:val="single" w:sz="4" w:space="0" w:color="auto"/>
              <w:right w:val="single" w:sz="4" w:space="0" w:color="auto"/>
            </w:tcBorders>
            <w:shd w:val="clear" w:color="auto" w:fill="auto"/>
            <w:hideMark/>
          </w:tcPr>
          <w:p w14:paraId="624CE4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E1BEB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DFE5A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E10D8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D0B16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E32D9F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69E05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25F2DD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6EF23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Fundamental Problem in Number Theory: </w:t>
            </w:r>
          </w:p>
        </w:tc>
        <w:tc>
          <w:tcPr>
            <w:tcW w:w="6762" w:type="dxa"/>
            <w:tcBorders>
              <w:top w:val="nil"/>
              <w:left w:val="nil"/>
              <w:bottom w:val="single" w:sz="4" w:space="0" w:color="auto"/>
              <w:right w:val="single" w:sz="4" w:space="0" w:color="auto"/>
            </w:tcBorders>
            <w:shd w:val="clear" w:color="auto" w:fill="auto"/>
            <w:hideMark/>
          </w:tcPr>
          <w:p w14:paraId="234E0E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distribution of prime numbers is a fundamental problem in number theory that has intrigued mathematicians for centuries. Understanding the patterns and properties of prime numbers is essential for solving complex mathematical problems and advancing mathematical knowledge.</w:t>
            </w:r>
          </w:p>
        </w:tc>
        <w:tc>
          <w:tcPr>
            <w:tcW w:w="2566" w:type="dxa"/>
            <w:tcBorders>
              <w:top w:val="nil"/>
              <w:left w:val="nil"/>
              <w:bottom w:val="single" w:sz="4" w:space="0" w:color="auto"/>
              <w:right w:val="single" w:sz="4" w:space="0" w:color="auto"/>
            </w:tcBorders>
            <w:shd w:val="clear" w:color="auto" w:fill="auto"/>
            <w:hideMark/>
          </w:tcPr>
          <w:p w14:paraId="0481CB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4B742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2CF81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A06D2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Implications in Cryptography: </w:t>
            </w:r>
          </w:p>
        </w:tc>
        <w:tc>
          <w:tcPr>
            <w:tcW w:w="6762" w:type="dxa"/>
            <w:tcBorders>
              <w:top w:val="nil"/>
              <w:left w:val="nil"/>
              <w:bottom w:val="single" w:sz="4" w:space="0" w:color="auto"/>
              <w:right w:val="single" w:sz="4" w:space="0" w:color="auto"/>
            </w:tcBorders>
            <w:shd w:val="clear" w:color="auto" w:fill="auto"/>
            <w:hideMark/>
          </w:tcPr>
          <w:p w14:paraId="6E8907A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at the heart of modern cryptography algorithms, such as RSA encryption, which rely on the difficulty of factoring large composite numbers into their prime factors. Counting primes and identifying large prime numbers are essential for generating secure encryption keys and ensuring the confidentiality and integrity of digital communications.</w:t>
            </w:r>
          </w:p>
        </w:tc>
        <w:tc>
          <w:tcPr>
            <w:tcW w:w="2566" w:type="dxa"/>
            <w:tcBorders>
              <w:top w:val="nil"/>
              <w:left w:val="nil"/>
              <w:bottom w:val="single" w:sz="4" w:space="0" w:color="auto"/>
              <w:right w:val="single" w:sz="4" w:space="0" w:color="auto"/>
            </w:tcBorders>
            <w:shd w:val="clear" w:color="auto" w:fill="auto"/>
            <w:hideMark/>
          </w:tcPr>
          <w:p w14:paraId="19F857C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72CEF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4B321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0DB47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Applications in Computer Science: </w:t>
            </w:r>
          </w:p>
        </w:tc>
        <w:tc>
          <w:tcPr>
            <w:tcW w:w="6762" w:type="dxa"/>
            <w:tcBorders>
              <w:top w:val="nil"/>
              <w:left w:val="nil"/>
              <w:bottom w:val="single" w:sz="4" w:space="0" w:color="auto"/>
              <w:right w:val="single" w:sz="4" w:space="0" w:color="auto"/>
            </w:tcBorders>
            <w:shd w:val="clear" w:color="auto" w:fill="auto"/>
            <w:hideMark/>
          </w:tcPr>
          <w:p w14:paraId="63D0F44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extensively used in computer science and algorithms for tasks such as hashing, random number generation, and searching. Counting primes efficiently is crucial for optimizing algorithms and computational processes, reducing computational complexity, and improving performance in various applications.</w:t>
            </w:r>
          </w:p>
        </w:tc>
        <w:tc>
          <w:tcPr>
            <w:tcW w:w="2566" w:type="dxa"/>
            <w:tcBorders>
              <w:top w:val="nil"/>
              <w:left w:val="nil"/>
              <w:bottom w:val="single" w:sz="4" w:space="0" w:color="auto"/>
              <w:right w:val="single" w:sz="4" w:space="0" w:color="auto"/>
            </w:tcBorders>
            <w:shd w:val="clear" w:color="auto" w:fill="auto"/>
            <w:hideMark/>
          </w:tcPr>
          <w:p w14:paraId="6238005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CEAC7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479E7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B759B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Representation of Very Large Numbers: </w:t>
            </w:r>
          </w:p>
        </w:tc>
        <w:tc>
          <w:tcPr>
            <w:tcW w:w="6762" w:type="dxa"/>
            <w:tcBorders>
              <w:top w:val="nil"/>
              <w:left w:val="nil"/>
              <w:bottom w:val="single" w:sz="4" w:space="0" w:color="auto"/>
              <w:right w:val="single" w:sz="4" w:space="0" w:color="auto"/>
            </w:tcBorders>
            <w:shd w:val="clear" w:color="auto" w:fill="auto"/>
            <w:hideMark/>
          </w:tcPr>
          <w:p w14:paraId="1BFA6A2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Every mathematical function can be expressed in terms of primes, as prime numbers serve as the fundamental building blocks of the natural numbers. A very large number can be represented as being in proximity to an existing prime, facilitating efficient mathematical operations and calculations.</w:t>
            </w:r>
          </w:p>
        </w:tc>
        <w:tc>
          <w:tcPr>
            <w:tcW w:w="2566" w:type="dxa"/>
            <w:tcBorders>
              <w:top w:val="nil"/>
              <w:left w:val="nil"/>
              <w:bottom w:val="single" w:sz="4" w:space="0" w:color="auto"/>
              <w:right w:val="single" w:sz="4" w:space="0" w:color="auto"/>
            </w:tcBorders>
            <w:shd w:val="clear" w:color="auto" w:fill="auto"/>
            <w:hideMark/>
          </w:tcPr>
          <w:p w14:paraId="70C605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45B48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EBC03E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EEED0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Unique Representations: </w:t>
            </w:r>
          </w:p>
        </w:tc>
        <w:tc>
          <w:tcPr>
            <w:tcW w:w="6762" w:type="dxa"/>
            <w:tcBorders>
              <w:top w:val="nil"/>
              <w:left w:val="nil"/>
              <w:bottom w:val="single" w:sz="4" w:space="0" w:color="auto"/>
              <w:right w:val="single" w:sz="4" w:space="0" w:color="auto"/>
            </w:tcBorders>
            <w:shd w:val="clear" w:color="auto" w:fill="auto"/>
            <w:hideMark/>
          </w:tcPr>
          <w:p w14:paraId="7207977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Each individual can be seen as a unique representation of a prime expression. This concept underscores the inherent uniqueness and complexity of human beings, reflecting the deep connections between mathematics and the natural world.</w:t>
            </w:r>
          </w:p>
        </w:tc>
        <w:tc>
          <w:tcPr>
            <w:tcW w:w="2566" w:type="dxa"/>
            <w:tcBorders>
              <w:top w:val="nil"/>
              <w:left w:val="nil"/>
              <w:bottom w:val="single" w:sz="4" w:space="0" w:color="auto"/>
              <w:right w:val="single" w:sz="4" w:space="0" w:color="auto"/>
            </w:tcBorders>
            <w:shd w:val="clear" w:color="auto" w:fill="auto"/>
            <w:hideMark/>
          </w:tcPr>
          <w:p w14:paraId="284A37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DFBD0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72C1F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B3C8C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2B2B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13859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8CCDD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762C7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910D0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Every Mathematical Function Contains Primes:</w:t>
            </w:r>
          </w:p>
        </w:tc>
        <w:tc>
          <w:tcPr>
            <w:tcW w:w="6762" w:type="dxa"/>
            <w:tcBorders>
              <w:top w:val="nil"/>
              <w:left w:val="nil"/>
              <w:bottom w:val="single" w:sz="4" w:space="0" w:color="auto"/>
              <w:right w:val="single" w:sz="4" w:space="0" w:color="auto"/>
            </w:tcBorders>
            <w:shd w:val="clear" w:color="auto" w:fill="auto"/>
            <w:hideMark/>
          </w:tcPr>
          <w:p w14:paraId="1EAEBA5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02E5C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F52C7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DC150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28DD5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6BF10B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are integral components of virtually every mathematical function, theorem, and concept. They are the basic elements from which all other numbers are constructed, forming the foundation of arithmetic, algebra, and number theory.</w:t>
            </w:r>
          </w:p>
        </w:tc>
        <w:tc>
          <w:tcPr>
            <w:tcW w:w="2566" w:type="dxa"/>
            <w:tcBorders>
              <w:top w:val="nil"/>
              <w:left w:val="nil"/>
              <w:bottom w:val="single" w:sz="4" w:space="0" w:color="auto"/>
              <w:right w:val="single" w:sz="4" w:space="0" w:color="auto"/>
            </w:tcBorders>
            <w:shd w:val="clear" w:color="auto" w:fill="auto"/>
            <w:hideMark/>
          </w:tcPr>
          <w:p w14:paraId="4AF02CD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D4452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AB6B9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08837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A7F3B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the realm of calculus, prime numbers appear in various contexts, including the distribution of prime numbers along the number line, the convergence of series involving prime reciprocals, and the analysis of prime-counting functions.</w:t>
            </w:r>
          </w:p>
        </w:tc>
        <w:tc>
          <w:tcPr>
            <w:tcW w:w="2566" w:type="dxa"/>
            <w:tcBorders>
              <w:top w:val="nil"/>
              <w:left w:val="nil"/>
              <w:bottom w:val="single" w:sz="4" w:space="0" w:color="auto"/>
              <w:right w:val="single" w:sz="4" w:space="0" w:color="auto"/>
            </w:tcBorders>
            <w:shd w:val="clear" w:color="auto" w:fill="auto"/>
            <w:hideMark/>
          </w:tcPr>
          <w:p w14:paraId="7A3DE0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53CF2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46E5B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AFEE9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061A54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geometry and topology, prime numbers are used to classify shapes, surfaces, and mathematical structures. They play a central role in the study of prime knots, prime dimensions, and prime factorizations of geometric objects.</w:t>
            </w:r>
          </w:p>
        </w:tc>
        <w:tc>
          <w:tcPr>
            <w:tcW w:w="2566" w:type="dxa"/>
            <w:tcBorders>
              <w:top w:val="nil"/>
              <w:left w:val="nil"/>
              <w:bottom w:val="single" w:sz="4" w:space="0" w:color="auto"/>
              <w:right w:val="single" w:sz="4" w:space="0" w:color="auto"/>
            </w:tcBorders>
            <w:shd w:val="clear" w:color="auto" w:fill="auto"/>
            <w:hideMark/>
          </w:tcPr>
          <w:p w14:paraId="7D0E36A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5D9A0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B3E07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BECD2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D1C83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Even in abstract areas of mathematics such as group theory, prime numbers emerge as essential components of group structures, prime order subgroups, and prime power decompositions.</w:t>
            </w:r>
          </w:p>
        </w:tc>
        <w:tc>
          <w:tcPr>
            <w:tcW w:w="2566" w:type="dxa"/>
            <w:tcBorders>
              <w:top w:val="nil"/>
              <w:left w:val="nil"/>
              <w:bottom w:val="single" w:sz="4" w:space="0" w:color="auto"/>
              <w:right w:val="single" w:sz="4" w:space="0" w:color="auto"/>
            </w:tcBorders>
            <w:shd w:val="clear" w:color="auto" w:fill="auto"/>
            <w:hideMark/>
          </w:tcPr>
          <w:p w14:paraId="51FA6E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D57B3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4EBEC0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CB3D7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028F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E4A9F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B9B59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BE5C4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B1421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Representation of Very Large Numbers:</w:t>
            </w:r>
          </w:p>
        </w:tc>
        <w:tc>
          <w:tcPr>
            <w:tcW w:w="6762" w:type="dxa"/>
            <w:tcBorders>
              <w:top w:val="nil"/>
              <w:left w:val="nil"/>
              <w:bottom w:val="single" w:sz="4" w:space="0" w:color="auto"/>
              <w:right w:val="single" w:sz="4" w:space="0" w:color="auto"/>
            </w:tcBorders>
            <w:shd w:val="clear" w:color="auto" w:fill="auto"/>
            <w:hideMark/>
          </w:tcPr>
          <w:p w14:paraId="2340438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36BFC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35725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F772E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477D9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AAE22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provide a concise and efficient representation for very large numbers. By decomposing a large number into its prime factors, mathematicians can analyze and understand its underlying structure and properties.</w:t>
            </w:r>
          </w:p>
        </w:tc>
        <w:tc>
          <w:tcPr>
            <w:tcW w:w="2566" w:type="dxa"/>
            <w:tcBorders>
              <w:top w:val="nil"/>
              <w:left w:val="nil"/>
              <w:bottom w:val="single" w:sz="4" w:space="0" w:color="auto"/>
              <w:right w:val="single" w:sz="4" w:space="0" w:color="auto"/>
            </w:tcBorders>
            <w:shd w:val="clear" w:color="auto" w:fill="auto"/>
            <w:hideMark/>
          </w:tcPr>
          <w:p w14:paraId="4DB2BE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15B7D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6FAE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8CD22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66607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This concept is fundamental in number theory, where prime factorization is used to study the properties of integers, such as divisibility, congruences, and arithmetic functions.</w:t>
            </w:r>
          </w:p>
        </w:tc>
        <w:tc>
          <w:tcPr>
            <w:tcW w:w="2566" w:type="dxa"/>
            <w:tcBorders>
              <w:top w:val="nil"/>
              <w:left w:val="nil"/>
              <w:bottom w:val="single" w:sz="4" w:space="0" w:color="auto"/>
              <w:right w:val="single" w:sz="4" w:space="0" w:color="auto"/>
            </w:tcBorders>
            <w:shd w:val="clear" w:color="auto" w:fill="auto"/>
            <w:hideMark/>
          </w:tcPr>
          <w:p w14:paraId="7329F1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8925B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B3B90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2EB11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4C5DD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cryptography, the security of encryption algorithms relies on the difficulty of factoring large composite numbers into their prime factors. Prime numbers serve as the building blocks for generating secure encryption keys and protecting sensitive information in digital communications.</w:t>
            </w:r>
          </w:p>
        </w:tc>
        <w:tc>
          <w:tcPr>
            <w:tcW w:w="2566" w:type="dxa"/>
            <w:tcBorders>
              <w:top w:val="nil"/>
              <w:left w:val="nil"/>
              <w:bottom w:val="single" w:sz="4" w:space="0" w:color="auto"/>
              <w:right w:val="single" w:sz="4" w:space="0" w:color="auto"/>
            </w:tcBorders>
            <w:shd w:val="clear" w:color="auto" w:fill="auto"/>
            <w:hideMark/>
          </w:tcPr>
          <w:p w14:paraId="2DB94B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B7FDA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07928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2632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B63826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Additionally, prime numbers are used in data compression, where they are employed to encode and decode information efficiently. By leveraging the unique properties of prime numbers, compression algorithms can reduce the size of data files while preserving essential information.</w:t>
            </w:r>
          </w:p>
        </w:tc>
        <w:tc>
          <w:tcPr>
            <w:tcW w:w="2566" w:type="dxa"/>
            <w:tcBorders>
              <w:top w:val="nil"/>
              <w:left w:val="nil"/>
              <w:bottom w:val="single" w:sz="4" w:space="0" w:color="auto"/>
              <w:right w:val="single" w:sz="4" w:space="0" w:color="auto"/>
            </w:tcBorders>
            <w:shd w:val="clear" w:color="auto" w:fill="auto"/>
            <w:hideMark/>
          </w:tcPr>
          <w:p w14:paraId="238E2F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D00C8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D89A6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BC289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6DF0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1C0F6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4B1D1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27E19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92BD9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6A7F3AF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E0607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5BBE01" w14:textId="77777777" w:rsidTr="0041317E">
        <w:trPr>
          <w:trHeight w:val="2808"/>
        </w:trPr>
        <w:tc>
          <w:tcPr>
            <w:tcW w:w="1349" w:type="dxa"/>
            <w:tcBorders>
              <w:top w:val="nil"/>
              <w:left w:val="single" w:sz="4" w:space="0" w:color="auto"/>
              <w:bottom w:val="single" w:sz="4" w:space="0" w:color="auto"/>
              <w:right w:val="single" w:sz="4" w:space="0" w:color="auto"/>
            </w:tcBorders>
            <w:shd w:val="clear" w:color="auto" w:fill="auto"/>
            <w:hideMark/>
          </w:tcPr>
          <w:p w14:paraId="34A8522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65591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18CCC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Counting primes is not only a fundamental problem in number theory but also holds profound implications across various mathematical fields, including cryptography, computer science, and algorithms. Prime numbers are essential components of every mathematical function, serving as the building blocks of the natural numbers and providing unique representations for very large numbers. By understanding the significance of counting primes, mathematicians can unlock new insights, solve complex problems, and advance mathematical knowledge in diverse domains.</w:t>
            </w:r>
          </w:p>
        </w:tc>
        <w:tc>
          <w:tcPr>
            <w:tcW w:w="2566" w:type="dxa"/>
            <w:tcBorders>
              <w:top w:val="nil"/>
              <w:left w:val="nil"/>
              <w:bottom w:val="single" w:sz="4" w:space="0" w:color="auto"/>
              <w:right w:val="single" w:sz="4" w:space="0" w:color="auto"/>
            </w:tcBorders>
            <w:shd w:val="clear" w:color="auto" w:fill="auto"/>
            <w:hideMark/>
          </w:tcPr>
          <w:p w14:paraId="097407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6D671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194FC3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9D7BC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A1CC3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exploring the significance of counting primes in mathematics, the project aims to deepen our understanding of prime number theory, its applications, and its broader implications for scientific research and technology.</w:t>
            </w:r>
          </w:p>
        </w:tc>
        <w:tc>
          <w:tcPr>
            <w:tcW w:w="2566" w:type="dxa"/>
            <w:tcBorders>
              <w:top w:val="nil"/>
              <w:left w:val="nil"/>
              <w:bottom w:val="single" w:sz="4" w:space="0" w:color="auto"/>
              <w:right w:val="single" w:sz="4" w:space="0" w:color="auto"/>
            </w:tcBorders>
            <w:shd w:val="clear" w:color="auto" w:fill="auto"/>
            <w:hideMark/>
          </w:tcPr>
          <w:p w14:paraId="11254F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0E792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31820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A70EC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6EEE4E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D03F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BA73EF" w14:textId="77777777" w:rsidTr="0041317E">
        <w:trPr>
          <w:trHeight w:val="1440"/>
        </w:trPr>
        <w:tc>
          <w:tcPr>
            <w:tcW w:w="1349" w:type="dxa"/>
            <w:tcBorders>
              <w:top w:val="nil"/>
              <w:left w:val="single" w:sz="4" w:space="0" w:color="auto"/>
              <w:bottom w:val="single" w:sz="4" w:space="0" w:color="auto"/>
              <w:right w:val="single" w:sz="4" w:space="0" w:color="auto"/>
            </w:tcBorders>
            <w:shd w:val="clear" w:color="auto" w:fill="auto"/>
            <w:hideMark/>
          </w:tcPr>
          <w:p w14:paraId="6349F0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26A703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Historical Context: </w:t>
            </w:r>
          </w:p>
        </w:tc>
        <w:tc>
          <w:tcPr>
            <w:tcW w:w="6762" w:type="dxa"/>
            <w:tcBorders>
              <w:top w:val="nil"/>
              <w:left w:val="nil"/>
              <w:bottom w:val="single" w:sz="4" w:space="0" w:color="auto"/>
              <w:right w:val="single" w:sz="4" w:space="0" w:color="auto"/>
            </w:tcBorders>
            <w:shd w:val="clear" w:color="auto" w:fill="auto"/>
            <w:hideMark/>
          </w:tcPr>
          <w:p w14:paraId="704E315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a brief overview of the historical significance of prime numbers and their study, mentioning key mathematicians and breakthroughs in prime number theory.</w:t>
            </w:r>
          </w:p>
        </w:tc>
        <w:tc>
          <w:tcPr>
            <w:tcW w:w="2566" w:type="dxa"/>
            <w:tcBorders>
              <w:top w:val="nil"/>
              <w:left w:val="nil"/>
              <w:bottom w:val="single" w:sz="4" w:space="0" w:color="auto"/>
              <w:right w:val="single" w:sz="4" w:space="0" w:color="auto"/>
            </w:tcBorders>
            <w:shd w:val="clear" w:color="auto" w:fill="auto"/>
            <w:hideMark/>
          </w:tcPr>
          <w:p w14:paraId="02C821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And compare to other theories that are in parallel such as pi theory e theory and irrational number theories</w:t>
            </w:r>
          </w:p>
        </w:tc>
      </w:tr>
      <w:tr w:rsidR="0041317E" w:rsidRPr="0041317E" w14:paraId="29BEBAB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5FE6D6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B796C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A2131E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have a rich historical significance dating back to ancient civilizations, where they were revered for their mysterious properties and mathematical significance. Here's an in-depth exploration of the historical context of prime numbers and their study, as well as a comparison to other mathematical theories in parallel:</w:t>
            </w:r>
          </w:p>
        </w:tc>
        <w:tc>
          <w:tcPr>
            <w:tcW w:w="2566" w:type="dxa"/>
            <w:tcBorders>
              <w:top w:val="nil"/>
              <w:left w:val="nil"/>
              <w:bottom w:val="single" w:sz="4" w:space="0" w:color="auto"/>
              <w:right w:val="single" w:sz="4" w:space="0" w:color="auto"/>
            </w:tcBorders>
            <w:shd w:val="clear" w:color="auto" w:fill="auto"/>
            <w:hideMark/>
          </w:tcPr>
          <w:p w14:paraId="768364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BEA8E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50D68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5E953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D8E4F0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77B35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32E45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961EF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1D60E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Historical Significance:</w:t>
            </w:r>
          </w:p>
        </w:tc>
        <w:tc>
          <w:tcPr>
            <w:tcW w:w="6762" w:type="dxa"/>
            <w:tcBorders>
              <w:top w:val="nil"/>
              <w:left w:val="nil"/>
              <w:bottom w:val="single" w:sz="4" w:space="0" w:color="auto"/>
              <w:right w:val="single" w:sz="4" w:space="0" w:color="auto"/>
            </w:tcBorders>
            <w:shd w:val="clear" w:color="auto" w:fill="auto"/>
            <w:hideMark/>
          </w:tcPr>
          <w:p w14:paraId="6B1A5B5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2E52F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2926F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6FBAF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65A21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0894A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F3B1F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3F069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7C8D5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B1A99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Ancient Times: </w:t>
            </w:r>
          </w:p>
        </w:tc>
        <w:tc>
          <w:tcPr>
            <w:tcW w:w="6762" w:type="dxa"/>
            <w:tcBorders>
              <w:top w:val="nil"/>
              <w:left w:val="nil"/>
              <w:bottom w:val="single" w:sz="4" w:space="0" w:color="auto"/>
              <w:right w:val="single" w:sz="4" w:space="0" w:color="auto"/>
            </w:tcBorders>
            <w:shd w:val="clear" w:color="auto" w:fill="auto"/>
            <w:hideMark/>
          </w:tcPr>
          <w:p w14:paraId="50C3052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study of prime numbers can be traced back to ancient civilizations such as Egypt and Mesopotamia, where prime numbers were recognized and used in various contexts, including mathematics, astronomy, and religious rituals. Ancient mathematicians, such as Euclid and Eratosthenes, made significant contributions to prime number theory, laying the foundation for future developments.</w:t>
            </w:r>
          </w:p>
        </w:tc>
        <w:tc>
          <w:tcPr>
            <w:tcW w:w="2566" w:type="dxa"/>
            <w:tcBorders>
              <w:top w:val="nil"/>
              <w:left w:val="nil"/>
              <w:bottom w:val="single" w:sz="4" w:space="0" w:color="auto"/>
              <w:right w:val="single" w:sz="4" w:space="0" w:color="auto"/>
            </w:tcBorders>
            <w:shd w:val="clear" w:color="auto" w:fill="auto"/>
            <w:hideMark/>
          </w:tcPr>
          <w:p w14:paraId="64A89A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6C145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3EBCA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C885A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Ancient Greece: </w:t>
            </w:r>
          </w:p>
        </w:tc>
        <w:tc>
          <w:tcPr>
            <w:tcW w:w="6762" w:type="dxa"/>
            <w:tcBorders>
              <w:top w:val="nil"/>
              <w:left w:val="nil"/>
              <w:bottom w:val="single" w:sz="4" w:space="0" w:color="auto"/>
              <w:right w:val="single" w:sz="4" w:space="0" w:color="auto"/>
            </w:tcBorders>
            <w:shd w:val="clear" w:color="auto" w:fill="auto"/>
            <w:hideMark/>
          </w:tcPr>
          <w:p w14:paraId="42BC66B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 ancient Greece, mathematicians such as Euclid and Pythagoras explored the properties of prime numbers and their relationship to other mathematical concepts. Euclid's "Elements" laid out the first systematic treatment of number theory, including the famous proof of the infinitude of prime numbers and the fundamental theorem of arithmetic.</w:t>
            </w:r>
          </w:p>
        </w:tc>
        <w:tc>
          <w:tcPr>
            <w:tcW w:w="2566" w:type="dxa"/>
            <w:tcBorders>
              <w:top w:val="nil"/>
              <w:left w:val="nil"/>
              <w:bottom w:val="single" w:sz="4" w:space="0" w:color="auto"/>
              <w:right w:val="single" w:sz="4" w:space="0" w:color="auto"/>
            </w:tcBorders>
            <w:shd w:val="clear" w:color="auto" w:fill="auto"/>
            <w:hideMark/>
          </w:tcPr>
          <w:p w14:paraId="50BCFE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B992E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654331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3957F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Medieval Europe: </w:t>
            </w:r>
          </w:p>
        </w:tc>
        <w:tc>
          <w:tcPr>
            <w:tcW w:w="6762" w:type="dxa"/>
            <w:tcBorders>
              <w:top w:val="nil"/>
              <w:left w:val="nil"/>
              <w:bottom w:val="single" w:sz="4" w:space="0" w:color="auto"/>
              <w:right w:val="single" w:sz="4" w:space="0" w:color="auto"/>
            </w:tcBorders>
            <w:shd w:val="clear" w:color="auto" w:fill="auto"/>
            <w:hideMark/>
          </w:tcPr>
          <w:p w14:paraId="4DF091A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During the Middle Ages, prime numbers continued to capture the attention of mathematicians and scholars. Fibonacci, in his groundbreaking work "Liber Abaci," introduced the Fibonacci sequence, which is intimately connected to prime numbers and their distribution. The study of primes also played a role in cryptography and encryption techniques used in warfare and diplomacy.</w:t>
            </w:r>
          </w:p>
        </w:tc>
        <w:tc>
          <w:tcPr>
            <w:tcW w:w="2566" w:type="dxa"/>
            <w:tcBorders>
              <w:top w:val="nil"/>
              <w:left w:val="nil"/>
              <w:bottom w:val="single" w:sz="4" w:space="0" w:color="auto"/>
              <w:right w:val="single" w:sz="4" w:space="0" w:color="auto"/>
            </w:tcBorders>
            <w:shd w:val="clear" w:color="auto" w:fill="auto"/>
            <w:hideMark/>
          </w:tcPr>
          <w:p w14:paraId="21113F6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62689F"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3449A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E3508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Modern Era: </w:t>
            </w:r>
          </w:p>
        </w:tc>
        <w:tc>
          <w:tcPr>
            <w:tcW w:w="6762" w:type="dxa"/>
            <w:tcBorders>
              <w:top w:val="nil"/>
              <w:left w:val="nil"/>
              <w:bottom w:val="single" w:sz="4" w:space="0" w:color="auto"/>
              <w:right w:val="single" w:sz="4" w:space="0" w:color="auto"/>
            </w:tcBorders>
            <w:shd w:val="clear" w:color="auto" w:fill="auto"/>
            <w:hideMark/>
          </w:tcPr>
          <w:p w14:paraId="609459D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study of prime numbers underwent a renaissance in the modern era with the advent of number theory as a distinct branch of mathematics. Mathematicians such as Euler, Gauss, and Riemann made significant contributions to prime number theory, including the development of primality testing algorithms, the prime number theorem, and the Riemann hypothesis.</w:t>
            </w:r>
          </w:p>
        </w:tc>
        <w:tc>
          <w:tcPr>
            <w:tcW w:w="2566" w:type="dxa"/>
            <w:tcBorders>
              <w:top w:val="nil"/>
              <w:left w:val="nil"/>
              <w:bottom w:val="single" w:sz="4" w:space="0" w:color="auto"/>
              <w:right w:val="single" w:sz="4" w:space="0" w:color="auto"/>
            </w:tcBorders>
            <w:shd w:val="clear" w:color="auto" w:fill="auto"/>
            <w:hideMark/>
          </w:tcPr>
          <w:p w14:paraId="3646E2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9D645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2547E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86773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798CDC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C1B1F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793D7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C1F067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46F6A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Comparison to Other Theories:</w:t>
            </w:r>
          </w:p>
        </w:tc>
        <w:tc>
          <w:tcPr>
            <w:tcW w:w="6762" w:type="dxa"/>
            <w:tcBorders>
              <w:top w:val="nil"/>
              <w:left w:val="nil"/>
              <w:bottom w:val="single" w:sz="4" w:space="0" w:color="auto"/>
              <w:right w:val="single" w:sz="4" w:space="0" w:color="auto"/>
            </w:tcBorders>
            <w:shd w:val="clear" w:color="auto" w:fill="auto"/>
            <w:hideMark/>
          </w:tcPr>
          <w:p w14:paraId="0671BAE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1B7C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70227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F3714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232D5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90241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BC6A3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A8F7E8"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EE6EC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0F7A5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Pi Theory: </w:t>
            </w:r>
          </w:p>
        </w:tc>
        <w:tc>
          <w:tcPr>
            <w:tcW w:w="6762" w:type="dxa"/>
            <w:tcBorders>
              <w:top w:val="nil"/>
              <w:left w:val="nil"/>
              <w:bottom w:val="single" w:sz="4" w:space="0" w:color="auto"/>
              <w:right w:val="single" w:sz="4" w:space="0" w:color="auto"/>
            </w:tcBorders>
            <w:shd w:val="clear" w:color="auto" w:fill="auto"/>
            <w:hideMark/>
          </w:tcPr>
          <w:p w14:paraId="78D5C7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Pi (π) theory, also known as the study of the mathematical constant π, is another fundamental area of mathematical research that has parallels with prime number theory. Both prime numbers and the number π are central to various mathematical disciplines and have intrigued mathematicians for centuries. Pi theory explores the properties of the transcendental number π, its significance in geometry, calculus, and trigonometry, and its connections to other mathematical constants and functions.</w:t>
            </w:r>
          </w:p>
        </w:tc>
        <w:tc>
          <w:tcPr>
            <w:tcW w:w="2566" w:type="dxa"/>
            <w:tcBorders>
              <w:top w:val="nil"/>
              <w:left w:val="nil"/>
              <w:bottom w:val="single" w:sz="4" w:space="0" w:color="auto"/>
              <w:right w:val="single" w:sz="4" w:space="0" w:color="auto"/>
            </w:tcBorders>
            <w:shd w:val="clear" w:color="auto" w:fill="auto"/>
            <w:hideMark/>
          </w:tcPr>
          <w:p w14:paraId="3C5B2B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ED4AB8"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D3B2C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22B92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 Theory: </w:t>
            </w:r>
          </w:p>
        </w:tc>
        <w:tc>
          <w:tcPr>
            <w:tcW w:w="6762" w:type="dxa"/>
            <w:tcBorders>
              <w:top w:val="nil"/>
              <w:left w:val="nil"/>
              <w:bottom w:val="single" w:sz="4" w:space="0" w:color="auto"/>
              <w:right w:val="single" w:sz="4" w:space="0" w:color="auto"/>
            </w:tcBorders>
            <w:shd w:val="clear" w:color="auto" w:fill="auto"/>
            <w:hideMark/>
          </w:tcPr>
          <w:p w14:paraId="292578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Similarly, the study of the mathematical constant e (Euler's number) has parallels with prime number theory. The number e is fundamental in calculus, differential equations, and exponential growth models, and it exhibits intriguing properties and relationships with other mathematical constants and functions. The study of e theory involves exploring the properties of e, its applications in mathematical analysis, and its connections to prime numbers and other mathematical concepts.</w:t>
            </w:r>
          </w:p>
        </w:tc>
        <w:tc>
          <w:tcPr>
            <w:tcW w:w="2566" w:type="dxa"/>
            <w:tcBorders>
              <w:top w:val="nil"/>
              <w:left w:val="nil"/>
              <w:bottom w:val="single" w:sz="4" w:space="0" w:color="auto"/>
              <w:right w:val="single" w:sz="4" w:space="0" w:color="auto"/>
            </w:tcBorders>
            <w:shd w:val="clear" w:color="auto" w:fill="auto"/>
            <w:hideMark/>
          </w:tcPr>
          <w:p w14:paraId="1D8C282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0468FE"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3E58338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BED01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Irrational Number Theories: </w:t>
            </w:r>
          </w:p>
        </w:tc>
        <w:tc>
          <w:tcPr>
            <w:tcW w:w="6762" w:type="dxa"/>
            <w:tcBorders>
              <w:top w:val="nil"/>
              <w:left w:val="nil"/>
              <w:bottom w:val="single" w:sz="4" w:space="0" w:color="auto"/>
              <w:right w:val="single" w:sz="4" w:space="0" w:color="auto"/>
            </w:tcBorders>
            <w:shd w:val="clear" w:color="auto" w:fill="auto"/>
            <w:hideMark/>
          </w:tcPr>
          <w:p w14:paraId="2B40CAD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 theory intersects with the study of irrational numbers, including transcendental and algebraic irrational numbers. Irrational numbers, such as the square root of 2 (√2) or the golden ratio (φ), are numbers that cannot be expressed as fractions of integers and have infinitely many non-repeating decimal digits. The study of irrational number theories involves exploring the properties, representations, and relationships of irrational numbers with prime numbers and other mathematical concepts.</w:t>
            </w:r>
          </w:p>
        </w:tc>
        <w:tc>
          <w:tcPr>
            <w:tcW w:w="2566" w:type="dxa"/>
            <w:tcBorders>
              <w:top w:val="nil"/>
              <w:left w:val="nil"/>
              <w:bottom w:val="single" w:sz="4" w:space="0" w:color="auto"/>
              <w:right w:val="single" w:sz="4" w:space="0" w:color="auto"/>
            </w:tcBorders>
            <w:shd w:val="clear" w:color="auto" w:fill="auto"/>
            <w:hideMark/>
          </w:tcPr>
          <w:p w14:paraId="6FB3139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8B5B6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83CB4F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F70F4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1286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1BE45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6848C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C3E14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9D82F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9B567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F613C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9ED6A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BBD66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0551F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26627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9C8B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6F41B5"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A9CC8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B9A4D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F5DB8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historical significance of prime numbers spans millennia, from ancient civilizations to modern mathematicians, who have explored their properties, patterns, and implications across diverse mathematical fields. The study of prime numbers has parallels with other fundamental mathematical theories, including pi theory, e theory, and irrational number theories, each of which offers unique insights into the nature of mathematics and its applications in science, technology, and society.</w:t>
            </w:r>
          </w:p>
        </w:tc>
        <w:tc>
          <w:tcPr>
            <w:tcW w:w="2566" w:type="dxa"/>
            <w:tcBorders>
              <w:top w:val="nil"/>
              <w:left w:val="nil"/>
              <w:bottom w:val="single" w:sz="4" w:space="0" w:color="auto"/>
              <w:right w:val="single" w:sz="4" w:space="0" w:color="auto"/>
            </w:tcBorders>
            <w:shd w:val="clear" w:color="auto" w:fill="auto"/>
            <w:hideMark/>
          </w:tcPr>
          <w:p w14:paraId="71F34A1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14704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0388A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1EAC1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BD2C2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538B5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56FB4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224231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6223C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02BF7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understanding the historical context of prime number theory and its connections to other mathematical theories, the project aims to contextualize the significance of counting primes in mathematics and explore its broader implications for scientific research, technological innovation, and mathematical understanding.</w:t>
            </w:r>
          </w:p>
        </w:tc>
        <w:tc>
          <w:tcPr>
            <w:tcW w:w="2566" w:type="dxa"/>
            <w:tcBorders>
              <w:top w:val="nil"/>
              <w:left w:val="nil"/>
              <w:bottom w:val="single" w:sz="4" w:space="0" w:color="auto"/>
              <w:right w:val="single" w:sz="4" w:space="0" w:color="auto"/>
            </w:tcBorders>
            <w:shd w:val="clear" w:color="auto" w:fill="auto"/>
            <w:hideMark/>
          </w:tcPr>
          <w:p w14:paraId="4B78FB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2CF05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2F3CA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A047C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EFCF2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2E9F3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8B1379" w14:textId="77777777" w:rsidTr="0041317E">
        <w:trPr>
          <w:trHeight w:val="4608"/>
        </w:trPr>
        <w:tc>
          <w:tcPr>
            <w:tcW w:w="1349" w:type="dxa"/>
            <w:tcBorders>
              <w:top w:val="nil"/>
              <w:left w:val="single" w:sz="4" w:space="0" w:color="auto"/>
              <w:bottom w:val="single" w:sz="4" w:space="0" w:color="auto"/>
              <w:right w:val="single" w:sz="4" w:space="0" w:color="auto"/>
            </w:tcBorders>
            <w:shd w:val="clear" w:color="auto" w:fill="auto"/>
            <w:hideMark/>
          </w:tcPr>
          <w:p w14:paraId="0B0D45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174136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Current Challenges and Research Directions: </w:t>
            </w:r>
          </w:p>
        </w:tc>
        <w:tc>
          <w:tcPr>
            <w:tcW w:w="6762" w:type="dxa"/>
            <w:tcBorders>
              <w:top w:val="nil"/>
              <w:left w:val="nil"/>
              <w:bottom w:val="single" w:sz="4" w:space="0" w:color="auto"/>
              <w:right w:val="single" w:sz="4" w:space="0" w:color="auto"/>
            </w:tcBorders>
            <w:shd w:val="clear" w:color="auto" w:fill="auto"/>
            <w:hideMark/>
          </w:tcPr>
          <w:p w14:paraId="3BE4C5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Describe the current challenges and open questions in the field of prime number theory. Explain how advances in computing power and algorithmic techniques have enabled researchers to tackle larger prime counting problems and uncover deeper insights.</w:t>
            </w:r>
          </w:p>
        </w:tc>
        <w:tc>
          <w:tcPr>
            <w:tcW w:w="2566" w:type="dxa"/>
            <w:tcBorders>
              <w:top w:val="nil"/>
              <w:left w:val="nil"/>
              <w:bottom w:val="single" w:sz="4" w:space="0" w:color="auto"/>
              <w:right w:val="single" w:sz="4" w:space="0" w:color="auto"/>
            </w:tcBorders>
            <w:shd w:val="clear" w:color="auto" w:fill="auto"/>
            <w:hideMark/>
          </w:tcPr>
          <w:p w14:paraId="5280D5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Challenges such as: How to incorporate Prime Expressions Compressions et al into existing myriads of research educational and business.  Current limitations on RAM for the PrimeBook 32gigs for around 7billion primes to date.  Interest in Personal Prime Finding what is the return on computation, certificates of finds and transferability as a value is this a value or a value that I have to create?</w:t>
            </w:r>
          </w:p>
        </w:tc>
      </w:tr>
      <w:tr w:rsidR="0041317E" w:rsidRPr="0041317E" w14:paraId="7B6945A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976D4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C2767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483A0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field of prime number theory faces numerous challenges and open questions, alongside exciting research directions that explore new avenues for understanding prime numbers and their significance. Here's an in-depth exploration of the current challenges, research directions, and potential solutions:</w:t>
            </w:r>
          </w:p>
        </w:tc>
        <w:tc>
          <w:tcPr>
            <w:tcW w:w="2566" w:type="dxa"/>
            <w:tcBorders>
              <w:top w:val="nil"/>
              <w:left w:val="nil"/>
              <w:bottom w:val="single" w:sz="4" w:space="0" w:color="auto"/>
              <w:right w:val="single" w:sz="4" w:space="0" w:color="auto"/>
            </w:tcBorders>
            <w:shd w:val="clear" w:color="auto" w:fill="auto"/>
            <w:hideMark/>
          </w:tcPr>
          <w:p w14:paraId="1EE612B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AA506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0A220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D6680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Current Challenges:</w:t>
            </w:r>
          </w:p>
        </w:tc>
        <w:tc>
          <w:tcPr>
            <w:tcW w:w="6762" w:type="dxa"/>
            <w:tcBorders>
              <w:top w:val="nil"/>
              <w:left w:val="nil"/>
              <w:bottom w:val="single" w:sz="4" w:space="0" w:color="auto"/>
              <w:right w:val="single" w:sz="4" w:space="0" w:color="auto"/>
            </w:tcBorders>
            <w:shd w:val="clear" w:color="auto" w:fill="auto"/>
            <w:hideMark/>
          </w:tcPr>
          <w:p w14:paraId="5A61FAB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BDCD3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290A1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DDB72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B65FB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Incorporating Prime Expressions Compressions: </w:t>
            </w:r>
          </w:p>
        </w:tc>
        <w:tc>
          <w:tcPr>
            <w:tcW w:w="6762" w:type="dxa"/>
            <w:tcBorders>
              <w:top w:val="nil"/>
              <w:left w:val="nil"/>
              <w:bottom w:val="single" w:sz="4" w:space="0" w:color="auto"/>
              <w:right w:val="single" w:sz="4" w:space="0" w:color="auto"/>
            </w:tcBorders>
            <w:shd w:val="clear" w:color="auto" w:fill="auto"/>
            <w:hideMark/>
          </w:tcPr>
          <w:p w14:paraId="5D82AF6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One of the current challenges in prime number theory is how to effectively incorporate prime expressions compressions and related techniques into existing research, educational materials, and business applications. While prime number compression algorithms can significantly reduce the storage space required to represent large primes, integrating these techniques into existing frameworks and systems poses technical and logistical challenges.</w:t>
            </w:r>
          </w:p>
        </w:tc>
        <w:tc>
          <w:tcPr>
            <w:tcW w:w="2566" w:type="dxa"/>
            <w:tcBorders>
              <w:top w:val="nil"/>
              <w:left w:val="nil"/>
              <w:bottom w:val="single" w:sz="4" w:space="0" w:color="auto"/>
              <w:right w:val="single" w:sz="4" w:space="0" w:color="auto"/>
            </w:tcBorders>
            <w:shd w:val="clear" w:color="auto" w:fill="auto"/>
            <w:hideMark/>
          </w:tcPr>
          <w:p w14:paraId="798F8D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03C1F1C"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874D41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FA72D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Limitations on RAM for PrimeBook: </w:t>
            </w:r>
          </w:p>
        </w:tc>
        <w:tc>
          <w:tcPr>
            <w:tcW w:w="6762" w:type="dxa"/>
            <w:tcBorders>
              <w:top w:val="nil"/>
              <w:left w:val="nil"/>
              <w:bottom w:val="single" w:sz="4" w:space="0" w:color="auto"/>
              <w:right w:val="single" w:sz="4" w:space="0" w:color="auto"/>
            </w:tcBorders>
            <w:shd w:val="clear" w:color="auto" w:fill="auto"/>
            <w:hideMark/>
          </w:tcPr>
          <w:p w14:paraId="37148A2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Another challenge is the current limitation on random-access memory (RAM) for systems like the PrimeBook, which restricts the size of prime number databases that can be stored and processed efficiently. With around 7 billion primes documented to date, the demand for scalable and memory-efficient storage solutions is increasing, necessitating advancements in hardware and software technologies to overcome these limitations.</w:t>
            </w:r>
          </w:p>
        </w:tc>
        <w:tc>
          <w:tcPr>
            <w:tcW w:w="2566" w:type="dxa"/>
            <w:tcBorders>
              <w:top w:val="nil"/>
              <w:left w:val="nil"/>
              <w:bottom w:val="single" w:sz="4" w:space="0" w:color="auto"/>
              <w:right w:val="single" w:sz="4" w:space="0" w:color="auto"/>
            </w:tcBorders>
            <w:shd w:val="clear" w:color="auto" w:fill="auto"/>
            <w:hideMark/>
          </w:tcPr>
          <w:p w14:paraId="2A05EC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805DA6"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D823DD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8BB56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Interest in Personal Prime Finding: </w:t>
            </w:r>
          </w:p>
        </w:tc>
        <w:tc>
          <w:tcPr>
            <w:tcW w:w="6762" w:type="dxa"/>
            <w:tcBorders>
              <w:top w:val="nil"/>
              <w:left w:val="nil"/>
              <w:bottom w:val="single" w:sz="4" w:space="0" w:color="auto"/>
              <w:right w:val="single" w:sz="4" w:space="0" w:color="auto"/>
            </w:tcBorders>
            <w:shd w:val="clear" w:color="auto" w:fill="auto"/>
            <w:hideMark/>
          </w:tcPr>
          <w:p w14:paraId="52BA144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There is growing interest among individuals in personal prime finding, fueled by the democratization of computing power and the availability of prime number search algorithms. However, questions arise regarding the return on computation invested in personal prime finding activities. Researchers are exploring the feasibility of incentivizing personal prime finding through certificates of finds, transferability of prime discoveries, and the creation of value networks around prime number discovery.</w:t>
            </w:r>
          </w:p>
        </w:tc>
        <w:tc>
          <w:tcPr>
            <w:tcW w:w="2566" w:type="dxa"/>
            <w:tcBorders>
              <w:top w:val="nil"/>
              <w:left w:val="nil"/>
              <w:bottom w:val="single" w:sz="4" w:space="0" w:color="auto"/>
              <w:right w:val="single" w:sz="4" w:space="0" w:color="auto"/>
            </w:tcBorders>
            <w:shd w:val="clear" w:color="auto" w:fill="auto"/>
            <w:hideMark/>
          </w:tcPr>
          <w:p w14:paraId="47A860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6BC84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49575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BE4C2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Research Directions:</w:t>
            </w:r>
          </w:p>
        </w:tc>
        <w:tc>
          <w:tcPr>
            <w:tcW w:w="6762" w:type="dxa"/>
            <w:tcBorders>
              <w:top w:val="nil"/>
              <w:left w:val="nil"/>
              <w:bottom w:val="single" w:sz="4" w:space="0" w:color="auto"/>
              <w:right w:val="single" w:sz="4" w:space="0" w:color="auto"/>
            </w:tcBorders>
            <w:shd w:val="clear" w:color="auto" w:fill="auto"/>
            <w:hideMark/>
          </w:tcPr>
          <w:p w14:paraId="137CE64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99A6D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A1C55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5EEED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204A2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Algorithmic Advances: </w:t>
            </w:r>
          </w:p>
        </w:tc>
        <w:tc>
          <w:tcPr>
            <w:tcW w:w="6762" w:type="dxa"/>
            <w:tcBorders>
              <w:top w:val="nil"/>
              <w:left w:val="nil"/>
              <w:bottom w:val="single" w:sz="4" w:space="0" w:color="auto"/>
              <w:right w:val="single" w:sz="4" w:space="0" w:color="auto"/>
            </w:tcBorders>
            <w:shd w:val="clear" w:color="auto" w:fill="auto"/>
            <w:hideMark/>
          </w:tcPr>
          <w:p w14:paraId="63C8B6B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Advances in computing power and algorithmic techniques have enabled researchers to tackle larger prime counting problems and uncover deeper insights into the distribution and properties of prime numbers. Research directions include the development of more efficient primality testing algorithms, improved sieving methods for prime number generation, and novel approaches for prime number factorization and decomposition.</w:t>
            </w:r>
          </w:p>
        </w:tc>
        <w:tc>
          <w:tcPr>
            <w:tcW w:w="2566" w:type="dxa"/>
            <w:tcBorders>
              <w:top w:val="nil"/>
              <w:left w:val="nil"/>
              <w:bottom w:val="single" w:sz="4" w:space="0" w:color="auto"/>
              <w:right w:val="single" w:sz="4" w:space="0" w:color="auto"/>
            </w:tcBorders>
            <w:shd w:val="clear" w:color="auto" w:fill="auto"/>
            <w:hideMark/>
          </w:tcPr>
          <w:p w14:paraId="261780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A64D9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4F1B88D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5EA1C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Distributed Computing: </w:t>
            </w:r>
          </w:p>
        </w:tc>
        <w:tc>
          <w:tcPr>
            <w:tcW w:w="6762" w:type="dxa"/>
            <w:tcBorders>
              <w:top w:val="nil"/>
              <w:left w:val="nil"/>
              <w:bottom w:val="single" w:sz="4" w:space="0" w:color="auto"/>
              <w:right w:val="single" w:sz="4" w:space="0" w:color="auto"/>
            </w:tcBorders>
            <w:shd w:val="clear" w:color="auto" w:fill="auto"/>
            <w:hideMark/>
          </w:tcPr>
          <w:p w14:paraId="3F708C0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emergence of distributed computing platforms and collaborative networks has opened up new avenues for prime number research, allowing researchers to harness the collective computational power of distributed systems to tackle large-scale prime number problems. Projects such as the Great Internet Mersenne Prime Search (GIMPS) demonstrate the potential of distributed computing in discovering new prime numbers and advancing prime number theory.</w:t>
            </w:r>
          </w:p>
        </w:tc>
        <w:tc>
          <w:tcPr>
            <w:tcW w:w="2566" w:type="dxa"/>
            <w:tcBorders>
              <w:top w:val="nil"/>
              <w:left w:val="nil"/>
              <w:bottom w:val="single" w:sz="4" w:space="0" w:color="auto"/>
              <w:right w:val="single" w:sz="4" w:space="0" w:color="auto"/>
            </w:tcBorders>
            <w:shd w:val="clear" w:color="auto" w:fill="auto"/>
            <w:hideMark/>
          </w:tcPr>
          <w:p w14:paraId="5BB7FE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AC0FC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2FB73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98051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Applications in Education and Business: </w:t>
            </w:r>
          </w:p>
        </w:tc>
        <w:tc>
          <w:tcPr>
            <w:tcW w:w="6762" w:type="dxa"/>
            <w:tcBorders>
              <w:top w:val="nil"/>
              <w:left w:val="nil"/>
              <w:bottom w:val="single" w:sz="4" w:space="0" w:color="auto"/>
              <w:right w:val="single" w:sz="4" w:space="0" w:color="auto"/>
            </w:tcBorders>
            <w:shd w:val="clear" w:color="auto" w:fill="auto"/>
            <w:hideMark/>
          </w:tcPr>
          <w:p w14:paraId="4A07A16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Integrating prime number theory and related concepts into educational curricula and business applications is a promising research direction. By developing educational materials, software tools, and interactive platforms, researchers can promote greater understanding of prime numbers among students, educators, and professionals, fostering innovation and creativity in mathematics, science, and technology.</w:t>
            </w:r>
          </w:p>
        </w:tc>
        <w:tc>
          <w:tcPr>
            <w:tcW w:w="2566" w:type="dxa"/>
            <w:tcBorders>
              <w:top w:val="nil"/>
              <w:left w:val="nil"/>
              <w:bottom w:val="single" w:sz="4" w:space="0" w:color="auto"/>
              <w:right w:val="single" w:sz="4" w:space="0" w:color="auto"/>
            </w:tcBorders>
            <w:shd w:val="clear" w:color="auto" w:fill="auto"/>
            <w:hideMark/>
          </w:tcPr>
          <w:p w14:paraId="21C82E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7ADB4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EE54E9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0574E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Personal Prime Finding Platforms: </w:t>
            </w:r>
          </w:p>
        </w:tc>
        <w:tc>
          <w:tcPr>
            <w:tcW w:w="6762" w:type="dxa"/>
            <w:tcBorders>
              <w:top w:val="nil"/>
              <w:left w:val="nil"/>
              <w:bottom w:val="single" w:sz="4" w:space="0" w:color="auto"/>
              <w:right w:val="single" w:sz="4" w:space="0" w:color="auto"/>
            </w:tcBorders>
            <w:shd w:val="clear" w:color="auto" w:fill="auto"/>
            <w:hideMark/>
          </w:tcPr>
          <w:p w14:paraId="3263F2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There is a growing interest in developing personal prime finding platforms that empower individuals to participate in prime number research and discovery. These platforms leverage crowdsourcing, gamification, and incentive mechanisms to engage enthusiasts in prime number exploration and promote citizen science initiatives in mathematics.</w:t>
            </w:r>
          </w:p>
        </w:tc>
        <w:tc>
          <w:tcPr>
            <w:tcW w:w="2566" w:type="dxa"/>
            <w:tcBorders>
              <w:top w:val="nil"/>
              <w:left w:val="nil"/>
              <w:bottom w:val="single" w:sz="4" w:space="0" w:color="auto"/>
              <w:right w:val="single" w:sz="4" w:space="0" w:color="auto"/>
            </w:tcBorders>
            <w:shd w:val="clear" w:color="auto" w:fill="auto"/>
            <w:hideMark/>
          </w:tcPr>
          <w:p w14:paraId="3F68831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A3598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F3B3AA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45651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17450A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C167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161BAD"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1AE17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C9C2E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46F37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field of prime number theory faces a myriad of challenges and opportunities, from incorporating new compression techniques and overcoming hardware limitations to incentivizing personal prime finding and exploring novel research directions. Advances in computing power, algorithmic techniques, and distributed computing platforms have enabled researchers to tackle larger prime counting problems and uncover deeper insights into prime number theory.</w:t>
            </w:r>
          </w:p>
        </w:tc>
        <w:tc>
          <w:tcPr>
            <w:tcW w:w="2566" w:type="dxa"/>
            <w:tcBorders>
              <w:top w:val="nil"/>
              <w:left w:val="nil"/>
              <w:bottom w:val="single" w:sz="4" w:space="0" w:color="auto"/>
              <w:right w:val="single" w:sz="4" w:space="0" w:color="auto"/>
            </w:tcBorders>
            <w:shd w:val="clear" w:color="auto" w:fill="auto"/>
            <w:hideMark/>
          </w:tcPr>
          <w:p w14:paraId="65F78E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C5698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C30B9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38159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A0407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addressing current challenges, exploring innovative research directions, and fostering collaboration among researchers, educators, and enthusiasts, the project aims to advance our understanding of prime numbers and their significance in mathematics, science, and society.</w:t>
            </w:r>
          </w:p>
        </w:tc>
        <w:tc>
          <w:tcPr>
            <w:tcW w:w="2566" w:type="dxa"/>
            <w:tcBorders>
              <w:top w:val="nil"/>
              <w:left w:val="nil"/>
              <w:bottom w:val="single" w:sz="4" w:space="0" w:color="auto"/>
              <w:right w:val="single" w:sz="4" w:space="0" w:color="auto"/>
            </w:tcBorders>
            <w:shd w:val="clear" w:color="auto" w:fill="auto"/>
            <w:hideMark/>
          </w:tcPr>
          <w:p w14:paraId="0CD587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218C6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E6F24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E2EF7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0A584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E9EC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EB9A09" w14:textId="77777777" w:rsidTr="0041317E">
        <w:trPr>
          <w:trHeight w:val="1440"/>
        </w:trPr>
        <w:tc>
          <w:tcPr>
            <w:tcW w:w="1349" w:type="dxa"/>
            <w:tcBorders>
              <w:top w:val="nil"/>
              <w:left w:val="single" w:sz="4" w:space="0" w:color="auto"/>
              <w:bottom w:val="single" w:sz="4" w:space="0" w:color="auto"/>
              <w:right w:val="single" w:sz="4" w:space="0" w:color="auto"/>
            </w:tcBorders>
            <w:shd w:val="clear" w:color="auto" w:fill="auto"/>
            <w:hideMark/>
          </w:tcPr>
          <w:p w14:paraId="0F1489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21F1F95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Real-World Applications: </w:t>
            </w:r>
          </w:p>
        </w:tc>
        <w:tc>
          <w:tcPr>
            <w:tcW w:w="6762" w:type="dxa"/>
            <w:tcBorders>
              <w:top w:val="nil"/>
              <w:left w:val="nil"/>
              <w:bottom w:val="single" w:sz="4" w:space="0" w:color="auto"/>
              <w:right w:val="single" w:sz="4" w:space="0" w:color="auto"/>
            </w:tcBorders>
            <w:shd w:val="clear" w:color="auto" w:fill="auto"/>
            <w:hideMark/>
          </w:tcPr>
          <w:p w14:paraId="5AF7CD2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Explore the real-world applications of prime number theory. Highlight how prime numbers are used in cryptography to secure online transactions, in generating secure encryption keys, and in optimizing algorithms for efficient computation.</w:t>
            </w:r>
          </w:p>
        </w:tc>
        <w:tc>
          <w:tcPr>
            <w:tcW w:w="2566" w:type="dxa"/>
            <w:tcBorders>
              <w:top w:val="nil"/>
              <w:left w:val="nil"/>
              <w:bottom w:val="single" w:sz="4" w:space="0" w:color="auto"/>
              <w:right w:val="single" w:sz="4" w:space="0" w:color="auto"/>
            </w:tcBorders>
            <w:shd w:val="clear" w:color="auto" w:fill="auto"/>
            <w:hideMark/>
          </w:tcPr>
          <w:p w14:paraId="6F8755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How primes are used for space navigation, molecular research, for forestry, for farming, and food production</w:t>
            </w:r>
          </w:p>
        </w:tc>
      </w:tr>
      <w:tr w:rsidR="0041317E" w:rsidRPr="0041317E" w14:paraId="778CDA5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A8121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FAFA8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6A28A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 theory has numerous real-world applications across diverse fields, ranging from cryptography and computer science to space navigation, molecular research, forestry, farming, and food production. Here's an in-depth exploration of the real-world applications of prime number theory:</w:t>
            </w:r>
          </w:p>
        </w:tc>
        <w:tc>
          <w:tcPr>
            <w:tcW w:w="2566" w:type="dxa"/>
            <w:tcBorders>
              <w:top w:val="nil"/>
              <w:left w:val="nil"/>
              <w:bottom w:val="single" w:sz="4" w:space="0" w:color="auto"/>
              <w:right w:val="single" w:sz="4" w:space="0" w:color="auto"/>
            </w:tcBorders>
            <w:shd w:val="clear" w:color="auto" w:fill="auto"/>
            <w:hideMark/>
          </w:tcPr>
          <w:p w14:paraId="64A70C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81F8B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1A060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91615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Cryptography and Computer Science:</w:t>
            </w:r>
          </w:p>
        </w:tc>
        <w:tc>
          <w:tcPr>
            <w:tcW w:w="6762" w:type="dxa"/>
            <w:tcBorders>
              <w:top w:val="nil"/>
              <w:left w:val="nil"/>
              <w:bottom w:val="single" w:sz="4" w:space="0" w:color="auto"/>
              <w:right w:val="single" w:sz="4" w:space="0" w:color="auto"/>
            </w:tcBorders>
            <w:shd w:val="clear" w:color="auto" w:fill="auto"/>
            <w:hideMark/>
          </w:tcPr>
          <w:p w14:paraId="544FE3E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E6EF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0C3AE5"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422FC9F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64E79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Secure Online Transactions: </w:t>
            </w:r>
          </w:p>
        </w:tc>
        <w:tc>
          <w:tcPr>
            <w:tcW w:w="6762" w:type="dxa"/>
            <w:tcBorders>
              <w:top w:val="nil"/>
              <w:left w:val="nil"/>
              <w:bottom w:val="single" w:sz="4" w:space="0" w:color="auto"/>
              <w:right w:val="single" w:sz="4" w:space="0" w:color="auto"/>
            </w:tcBorders>
            <w:shd w:val="clear" w:color="auto" w:fill="auto"/>
            <w:hideMark/>
          </w:tcPr>
          <w:p w14:paraId="40168A2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play a crucial role in cryptography, where they are used to secure online transactions, protect sensitive information, and ensure the confidentiality and integrity of digital communications. Cryptographic protocols such as RSA encryption rely on the difficulty of factoring large composite numbers into their prime factors, making prime numbers essential for generating secure encryption keys and decrypting encoded data.</w:t>
            </w:r>
          </w:p>
        </w:tc>
        <w:tc>
          <w:tcPr>
            <w:tcW w:w="2566" w:type="dxa"/>
            <w:tcBorders>
              <w:top w:val="nil"/>
              <w:left w:val="nil"/>
              <w:bottom w:val="single" w:sz="4" w:space="0" w:color="auto"/>
              <w:right w:val="single" w:sz="4" w:space="0" w:color="auto"/>
            </w:tcBorders>
            <w:shd w:val="clear" w:color="auto" w:fill="auto"/>
            <w:hideMark/>
          </w:tcPr>
          <w:p w14:paraId="3BBE56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10D9E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03C0F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2A7C3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Secure Encryption Keys: </w:t>
            </w:r>
          </w:p>
        </w:tc>
        <w:tc>
          <w:tcPr>
            <w:tcW w:w="6762" w:type="dxa"/>
            <w:tcBorders>
              <w:top w:val="nil"/>
              <w:left w:val="nil"/>
              <w:bottom w:val="single" w:sz="4" w:space="0" w:color="auto"/>
              <w:right w:val="single" w:sz="4" w:space="0" w:color="auto"/>
            </w:tcBorders>
            <w:shd w:val="clear" w:color="auto" w:fill="auto"/>
            <w:hideMark/>
          </w:tcPr>
          <w:p w14:paraId="07EBE2A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used to generate secure encryption keys for data encryption and decryption algorithms. The unique properties of prime numbers, such as their unpredictability and mathematical complexity, make them ideal for generating cryptographic keys that are resistant to brute force attacks and other cryptographic vulnerabilities.</w:t>
            </w:r>
          </w:p>
        </w:tc>
        <w:tc>
          <w:tcPr>
            <w:tcW w:w="2566" w:type="dxa"/>
            <w:tcBorders>
              <w:top w:val="nil"/>
              <w:left w:val="nil"/>
              <w:bottom w:val="single" w:sz="4" w:space="0" w:color="auto"/>
              <w:right w:val="single" w:sz="4" w:space="0" w:color="auto"/>
            </w:tcBorders>
            <w:shd w:val="clear" w:color="auto" w:fill="auto"/>
            <w:hideMark/>
          </w:tcPr>
          <w:p w14:paraId="7F6231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04681A"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2836E5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2E001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Optimizing Algorithms: </w:t>
            </w:r>
          </w:p>
        </w:tc>
        <w:tc>
          <w:tcPr>
            <w:tcW w:w="6762" w:type="dxa"/>
            <w:tcBorders>
              <w:top w:val="nil"/>
              <w:left w:val="nil"/>
              <w:bottom w:val="single" w:sz="4" w:space="0" w:color="auto"/>
              <w:right w:val="single" w:sz="4" w:space="0" w:color="auto"/>
            </w:tcBorders>
            <w:shd w:val="clear" w:color="auto" w:fill="auto"/>
            <w:hideMark/>
          </w:tcPr>
          <w:p w14:paraId="2AC53F9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also used to optimize algorithms for efficient computation and data processing. Prime number sieving algorithms, such as the Sieve of Eratosthenes and the Sieve of Atkin, are employed in various applications, including prime number generation, factorization, and primality testing. By leveraging the properties of prime numbers, researchers can develop algorithms that are faster, more accurate, and more resource-efficient.</w:t>
            </w:r>
          </w:p>
        </w:tc>
        <w:tc>
          <w:tcPr>
            <w:tcW w:w="2566" w:type="dxa"/>
            <w:tcBorders>
              <w:top w:val="nil"/>
              <w:left w:val="nil"/>
              <w:bottom w:val="single" w:sz="4" w:space="0" w:color="auto"/>
              <w:right w:val="single" w:sz="4" w:space="0" w:color="auto"/>
            </w:tcBorders>
            <w:shd w:val="clear" w:color="auto" w:fill="auto"/>
            <w:hideMark/>
          </w:tcPr>
          <w:p w14:paraId="6C24DB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33423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D1AA1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B89FA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Space Navigation:</w:t>
            </w:r>
          </w:p>
        </w:tc>
        <w:tc>
          <w:tcPr>
            <w:tcW w:w="6762" w:type="dxa"/>
            <w:tcBorders>
              <w:top w:val="nil"/>
              <w:left w:val="nil"/>
              <w:bottom w:val="single" w:sz="4" w:space="0" w:color="auto"/>
              <w:right w:val="single" w:sz="4" w:space="0" w:color="auto"/>
            </w:tcBorders>
            <w:shd w:val="clear" w:color="auto" w:fill="auto"/>
            <w:hideMark/>
          </w:tcPr>
          <w:p w14:paraId="32D243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77C2F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2A6DD8"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037ECEA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CAC4B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GPS Systems: </w:t>
            </w:r>
          </w:p>
        </w:tc>
        <w:tc>
          <w:tcPr>
            <w:tcW w:w="6762" w:type="dxa"/>
            <w:tcBorders>
              <w:top w:val="nil"/>
              <w:left w:val="nil"/>
              <w:bottom w:val="single" w:sz="4" w:space="0" w:color="auto"/>
              <w:right w:val="single" w:sz="4" w:space="0" w:color="auto"/>
            </w:tcBorders>
            <w:shd w:val="clear" w:color="auto" w:fill="auto"/>
            <w:hideMark/>
          </w:tcPr>
          <w:p w14:paraId="27EAA95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used in global positioning system (GPS) technology for accurate navigation and location tracking. GPS satellites rely on prime number sequences to encode and transmit timing signals, coordinate data, and position information to GPS receivers on Earth. Prime numbers help ensure the reliability, precision, and security of GPS-based navigation systems used in aviation, maritime navigation, transportation, and outdoor recreation.</w:t>
            </w:r>
          </w:p>
        </w:tc>
        <w:tc>
          <w:tcPr>
            <w:tcW w:w="2566" w:type="dxa"/>
            <w:tcBorders>
              <w:top w:val="nil"/>
              <w:left w:val="nil"/>
              <w:bottom w:val="single" w:sz="4" w:space="0" w:color="auto"/>
              <w:right w:val="single" w:sz="4" w:space="0" w:color="auto"/>
            </w:tcBorders>
            <w:shd w:val="clear" w:color="auto" w:fill="auto"/>
            <w:hideMark/>
          </w:tcPr>
          <w:p w14:paraId="706E86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CA172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5C4E67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C930E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Molecular Research:</w:t>
            </w:r>
          </w:p>
        </w:tc>
        <w:tc>
          <w:tcPr>
            <w:tcW w:w="6762" w:type="dxa"/>
            <w:tcBorders>
              <w:top w:val="nil"/>
              <w:left w:val="nil"/>
              <w:bottom w:val="single" w:sz="4" w:space="0" w:color="auto"/>
              <w:right w:val="single" w:sz="4" w:space="0" w:color="auto"/>
            </w:tcBorders>
            <w:shd w:val="clear" w:color="auto" w:fill="auto"/>
            <w:hideMark/>
          </w:tcPr>
          <w:p w14:paraId="5A65DC1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B8636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5B4E5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FE5DC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4EA4B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Genomics and DNA Sequencing: </w:t>
            </w:r>
          </w:p>
        </w:tc>
        <w:tc>
          <w:tcPr>
            <w:tcW w:w="6762" w:type="dxa"/>
            <w:tcBorders>
              <w:top w:val="nil"/>
              <w:left w:val="nil"/>
              <w:bottom w:val="single" w:sz="4" w:space="0" w:color="auto"/>
              <w:right w:val="single" w:sz="4" w:space="0" w:color="auto"/>
            </w:tcBorders>
            <w:shd w:val="clear" w:color="auto" w:fill="auto"/>
            <w:hideMark/>
          </w:tcPr>
          <w:p w14:paraId="14120D9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used in molecular research and genomics for DNA sequencing and genome analysis. Prime number sequences are employed in algorithms and computational methods for mapping, sequencing, and analyzing DNA sequences, identifying genetic variations, and studying the genetic basis of diseases and traits. Prime numbers play a vital role in bioinformatics, personalized medicine, and genetic engineering applications.</w:t>
            </w:r>
          </w:p>
        </w:tc>
        <w:tc>
          <w:tcPr>
            <w:tcW w:w="2566" w:type="dxa"/>
            <w:tcBorders>
              <w:top w:val="nil"/>
              <w:left w:val="nil"/>
              <w:bottom w:val="single" w:sz="4" w:space="0" w:color="auto"/>
              <w:right w:val="single" w:sz="4" w:space="0" w:color="auto"/>
            </w:tcBorders>
            <w:shd w:val="clear" w:color="auto" w:fill="auto"/>
            <w:hideMark/>
          </w:tcPr>
          <w:p w14:paraId="139F75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BD2BB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4D943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0A4A3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Forestry, Farming, and Food Production:</w:t>
            </w:r>
          </w:p>
        </w:tc>
        <w:tc>
          <w:tcPr>
            <w:tcW w:w="6762" w:type="dxa"/>
            <w:tcBorders>
              <w:top w:val="nil"/>
              <w:left w:val="nil"/>
              <w:bottom w:val="single" w:sz="4" w:space="0" w:color="auto"/>
              <w:right w:val="single" w:sz="4" w:space="0" w:color="auto"/>
            </w:tcBorders>
            <w:shd w:val="clear" w:color="auto" w:fill="auto"/>
            <w:hideMark/>
          </w:tcPr>
          <w:p w14:paraId="3BCEE64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B65A6D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2D4AF2"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541ECA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1FD9B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Crop Rotation and Planting Patterns: </w:t>
            </w:r>
          </w:p>
        </w:tc>
        <w:tc>
          <w:tcPr>
            <w:tcW w:w="6762" w:type="dxa"/>
            <w:tcBorders>
              <w:top w:val="nil"/>
              <w:left w:val="nil"/>
              <w:bottom w:val="single" w:sz="4" w:space="0" w:color="auto"/>
              <w:right w:val="single" w:sz="4" w:space="0" w:color="auto"/>
            </w:tcBorders>
            <w:shd w:val="clear" w:color="auto" w:fill="auto"/>
            <w:hideMark/>
          </w:tcPr>
          <w:p w14:paraId="29EF492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used in forestry, farming, and food production for crop rotation and planting patterns. Prime number-based planting schemes, such as the Fibonacci sequence and the golden ratio, are employed to optimize crop yields, minimize soil depletion, and enhance agricultural productivity. By following prime number-based planting patterns, farmers can promote biodiversity, reduce soil erosion, and improve crop resilience to environmental stresses.</w:t>
            </w:r>
          </w:p>
        </w:tc>
        <w:tc>
          <w:tcPr>
            <w:tcW w:w="2566" w:type="dxa"/>
            <w:tcBorders>
              <w:top w:val="nil"/>
              <w:left w:val="nil"/>
              <w:bottom w:val="single" w:sz="4" w:space="0" w:color="auto"/>
              <w:right w:val="single" w:sz="4" w:space="0" w:color="auto"/>
            </w:tcBorders>
            <w:shd w:val="clear" w:color="auto" w:fill="auto"/>
            <w:hideMark/>
          </w:tcPr>
          <w:p w14:paraId="5BD5F5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DBD39D"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6A10B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40CC9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Optimal Irrigation Schedules: </w:t>
            </w:r>
          </w:p>
        </w:tc>
        <w:tc>
          <w:tcPr>
            <w:tcW w:w="6762" w:type="dxa"/>
            <w:tcBorders>
              <w:top w:val="nil"/>
              <w:left w:val="nil"/>
              <w:bottom w:val="single" w:sz="4" w:space="0" w:color="auto"/>
              <w:right w:val="single" w:sz="4" w:space="0" w:color="auto"/>
            </w:tcBorders>
            <w:shd w:val="clear" w:color="auto" w:fill="auto"/>
            <w:hideMark/>
          </w:tcPr>
          <w:p w14:paraId="1FF65F8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are also used to develop optimal irrigation schedules for agricultural crops. Prime number-based irrigation algorithms take into account factors such as soil moisture, weather conditions, and crop water requirements to determine the most efficient and sustainable irrigation practices. By optimizing irrigation schedules based on prime number principles, farmers can conserve water resources, mitigate drought risk, and maximize crop yields.</w:t>
            </w:r>
          </w:p>
        </w:tc>
        <w:tc>
          <w:tcPr>
            <w:tcW w:w="2566" w:type="dxa"/>
            <w:tcBorders>
              <w:top w:val="nil"/>
              <w:left w:val="nil"/>
              <w:bottom w:val="single" w:sz="4" w:space="0" w:color="auto"/>
              <w:right w:val="single" w:sz="4" w:space="0" w:color="auto"/>
            </w:tcBorders>
            <w:shd w:val="clear" w:color="auto" w:fill="auto"/>
            <w:hideMark/>
          </w:tcPr>
          <w:p w14:paraId="49BAA1B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B0C1E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751DC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8498E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5BEB9D0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8F4FD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59B5C9"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3D0C6C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AD33B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A4D84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 theory has diverse real-world applications across various fields, including cryptography, computer science, space navigation, molecular research, forestry, farming, and food production. By understanding the practical implications of prime numbers, researchers, engineers, and practitioners can leverage prime number theory to develop innovative solutions, advance scientific knowledge, and address global challenges in technology, agriculture, healthcare, and environmental sustainability.</w:t>
            </w:r>
          </w:p>
        </w:tc>
        <w:tc>
          <w:tcPr>
            <w:tcW w:w="2566" w:type="dxa"/>
            <w:tcBorders>
              <w:top w:val="nil"/>
              <w:left w:val="nil"/>
              <w:bottom w:val="single" w:sz="4" w:space="0" w:color="auto"/>
              <w:right w:val="single" w:sz="4" w:space="0" w:color="auto"/>
            </w:tcBorders>
            <w:shd w:val="clear" w:color="auto" w:fill="auto"/>
            <w:hideMark/>
          </w:tcPr>
          <w:p w14:paraId="620AFB5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AB809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E9FD7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0DEC0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24A1D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exploring the real-world applications of prime number theory, the project aims to showcase the broad impact of prime numbers on society, economy, and the environment, fostering interdisciplinary collaboration and promoting the integration of prime number theory into diverse fields of research and practice</w:t>
            </w:r>
          </w:p>
        </w:tc>
        <w:tc>
          <w:tcPr>
            <w:tcW w:w="2566" w:type="dxa"/>
            <w:tcBorders>
              <w:top w:val="nil"/>
              <w:left w:val="nil"/>
              <w:bottom w:val="single" w:sz="4" w:space="0" w:color="auto"/>
              <w:right w:val="single" w:sz="4" w:space="0" w:color="auto"/>
            </w:tcBorders>
            <w:shd w:val="clear" w:color="auto" w:fill="auto"/>
            <w:hideMark/>
          </w:tcPr>
          <w:p w14:paraId="62623C2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EC533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770C61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6C6B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594D4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F5AC9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2F2C43" w14:textId="77777777" w:rsidTr="0041317E">
        <w:trPr>
          <w:trHeight w:val="2880"/>
        </w:trPr>
        <w:tc>
          <w:tcPr>
            <w:tcW w:w="1349" w:type="dxa"/>
            <w:tcBorders>
              <w:top w:val="nil"/>
              <w:left w:val="single" w:sz="4" w:space="0" w:color="auto"/>
              <w:bottom w:val="single" w:sz="4" w:space="0" w:color="auto"/>
              <w:right w:val="single" w:sz="4" w:space="0" w:color="auto"/>
            </w:tcBorders>
            <w:shd w:val="clear" w:color="auto" w:fill="auto"/>
            <w:hideMark/>
          </w:tcPr>
          <w:p w14:paraId="2E4022F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6D8B39D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6. Project Objectives: </w:t>
            </w:r>
          </w:p>
        </w:tc>
        <w:tc>
          <w:tcPr>
            <w:tcW w:w="6762" w:type="dxa"/>
            <w:tcBorders>
              <w:top w:val="nil"/>
              <w:left w:val="nil"/>
              <w:bottom w:val="single" w:sz="4" w:space="0" w:color="auto"/>
              <w:right w:val="single" w:sz="4" w:space="0" w:color="auto"/>
            </w:tcBorders>
            <w:shd w:val="clear" w:color="auto" w:fill="auto"/>
            <w:hideMark/>
          </w:tcPr>
          <w:p w14:paraId="11370FE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Summarize the specific objectives of the proposed scientific project on counting primes. This could include developing new algorithms for prime counting, analyzing the distribution of primes in different number sets, or exploring connections between prime numbers and other mathematical concepts.</w:t>
            </w:r>
          </w:p>
        </w:tc>
        <w:tc>
          <w:tcPr>
            <w:tcW w:w="2566" w:type="dxa"/>
            <w:tcBorders>
              <w:top w:val="nil"/>
              <w:left w:val="nil"/>
              <w:bottom w:val="single" w:sz="4" w:space="0" w:color="auto"/>
              <w:right w:val="single" w:sz="4" w:space="0" w:color="auto"/>
            </w:tcBorders>
            <w:shd w:val="clear" w:color="auto" w:fill="auto"/>
            <w:hideMark/>
          </w:tcPr>
          <w:p w14:paraId="086AC5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To create an open-free-source of easily available primes for everyone.  Next objective to create a second product that is a toolset that utilizes the PrimeBook for compression, analysis, and communication that is a software as a service sales-model.</w:t>
            </w:r>
          </w:p>
        </w:tc>
      </w:tr>
      <w:tr w:rsidR="0041317E" w:rsidRPr="0041317E" w14:paraId="34FCD4F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3C1BD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97D1D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D5B584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proposed scientific project on counting primes aims to achieve specific objectives that contribute to advancing prime number theory, promoting accessibility to prime numbers, and developing practical tools for prime number analysis and communication. Here's an in-depth exploration of the project objectives:</w:t>
            </w:r>
          </w:p>
        </w:tc>
        <w:tc>
          <w:tcPr>
            <w:tcW w:w="2566" w:type="dxa"/>
            <w:tcBorders>
              <w:top w:val="nil"/>
              <w:left w:val="nil"/>
              <w:bottom w:val="single" w:sz="4" w:space="0" w:color="auto"/>
              <w:right w:val="single" w:sz="4" w:space="0" w:color="auto"/>
            </w:tcBorders>
            <w:shd w:val="clear" w:color="auto" w:fill="auto"/>
            <w:hideMark/>
          </w:tcPr>
          <w:p w14:paraId="2456E78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370FD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2823CE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664BF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Objective 1: </w:t>
            </w:r>
          </w:p>
        </w:tc>
        <w:tc>
          <w:tcPr>
            <w:tcW w:w="6762" w:type="dxa"/>
            <w:tcBorders>
              <w:top w:val="nil"/>
              <w:left w:val="nil"/>
              <w:bottom w:val="single" w:sz="4" w:space="0" w:color="auto"/>
              <w:right w:val="single" w:sz="4" w:space="0" w:color="auto"/>
            </w:tcBorders>
            <w:shd w:val="clear" w:color="auto" w:fill="auto"/>
            <w:hideMark/>
          </w:tcPr>
          <w:p w14:paraId="247D46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an Open-Free-Source of Easily Available Primes for Everyone:</w:t>
            </w:r>
          </w:p>
        </w:tc>
        <w:tc>
          <w:tcPr>
            <w:tcW w:w="2566" w:type="dxa"/>
            <w:tcBorders>
              <w:top w:val="nil"/>
              <w:left w:val="nil"/>
              <w:bottom w:val="single" w:sz="4" w:space="0" w:color="auto"/>
              <w:right w:val="single" w:sz="4" w:space="0" w:color="auto"/>
            </w:tcBorders>
            <w:shd w:val="clear" w:color="auto" w:fill="auto"/>
            <w:hideMark/>
          </w:tcPr>
          <w:p w14:paraId="751315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C11D7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3678C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94BBF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Accessibility: </w:t>
            </w:r>
          </w:p>
        </w:tc>
        <w:tc>
          <w:tcPr>
            <w:tcW w:w="6762" w:type="dxa"/>
            <w:tcBorders>
              <w:top w:val="nil"/>
              <w:left w:val="nil"/>
              <w:bottom w:val="single" w:sz="4" w:space="0" w:color="auto"/>
              <w:right w:val="single" w:sz="4" w:space="0" w:color="auto"/>
            </w:tcBorders>
            <w:shd w:val="clear" w:color="auto" w:fill="auto"/>
            <w:hideMark/>
          </w:tcPr>
          <w:p w14:paraId="72FB513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primary objective of the project is to create an open-free-source database of easily available primes accessible to everyone. This database will serve as a centralized repository for storing, organizing, and distributing prime numbers, facilitating research, education, and innovation in prime number theory and related fields.</w:t>
            </w:r>
          </w:p>
        </w:tc>
        <w:tc>
          <w:tcPr>
            <w:tcW w:w="2566" w:type="dxa"/>
            <w:tcBorders>
              <w:top w:val="nil"/>
              <w:left w:val="nil"/>
              <w:bottom w:val="single" w:sz="4" w:space="0" w:color="auto"/>
              <w:right w:val="single" w:sz="4" w:space="0" w:color="auto"/>
            </w:tcBorders>
            <w:shd w:val="clear" w:color="auto" w:fill="auto"/>
            <w:hideMark/>
          </w:tcPr>
          <w:p w14:paraId="2E6863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87CC5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C949C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4C4EA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Engagement: </w:t>
            </w:r>
          </w:p>
        </w:tc>
        <w:tc>
          <w:tcPr>
            <w:tcW w:w="6762" w:type="dxa"/>
            <w:tcBorders>
              <w:top w:val="nil"/>
              <w:left w:val="nil"/>
              <w:bottom w:val="single" w:sz="4" w:space="0" w:color="auto"/>
              <w:right w:val="single" w:sz="4" w:space="0" w:color="auto"/>
            </w:tcBorders>
            <w:shd w:val="clear" w:color="auto" w:fill="auto"/>
            <w:hideMark/>
          </w:tcPr>
          <w:p w14:paraId="56731FE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project aims to engage the mathematics community, educators, students, and enthusiasts in contributing to the development and maintenance of the prime number database. By fostering collaboration and knowledge sharing, the project seeks to create a vibrant and inclusive ecosystem around prime number research and exploration.</w:t>
            </w:r>
          </w:p>
        </w:tc>
        <w:tc>
          <w:tcPr>
            <w:tcW w:w="2566" w:type="dxa"/>
            <w:tcBorders>
              <w:top w:val="nil"/>
              <w:left w:val="nil"/>
              <w:bottom w:val="single" w:sz="4" w:space="0" w:color="auto"/>
              <w:right w:val="single" w:sz="4" w:space="0" w:color="auto"/>
            </w:tcBorders>
            <w:shd w:val="clear" w:color="auto" w:fill="auto"/>
            <w:hideMark/>
          </w:tcPr>
          <w:p w14:paraId="199BF80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DDE38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7B7C3C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DDB74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Tools and Resources: </w:t>
            </w:r>
          </w:p>
        </w:tc>
        <w:tc>
          <w:tcPr>
            <w:tcW w:w="6762" w:type="dxa"/>
            <w:tcBorders>
              <w:top w:val="nil"/>
              <w:left w:val="nil"/>
              <w:bottom w:val="single" w:sz="4" w:space="0" w:color="auto"/>
              <w:right w:val="single" w:sz="4" w:space="0" w:color="auto"/>
            </w:tcBorders>
            <w:shd w:val="clear" w:color="auto" w:fill="auto"/>
            <w:hideMark/>
          </w:tcPr>
          <w:p w14:paraId="47CC00E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prime number database will provide tools and resources for prime number generation, factorization, primality testing, and analysis. Researchers and practitioners can leverage these tools to explore the properties, patterns, and applications of prime numbers, advancing scientific knowledge and technological innovation.</w:t>
            </w:r>
          </w:p>
        </w:tc>
        <w:tc>
          <w:tcPr>
            <w:tcW w:w="2566" w:type="dxa"/>
            <w:tcBorders>
              <w:top w:val="nil"/>
              <w:left w:val="nil"/>
              <w:bottom w:val="single" w:sz="4" w:space="0" w:color="auto"/>
              <w:right w:val="single" w:sz="4" w:space="0" w:color="auto"/>
            </w:tcBorders>
            <w:shd w:val="clear" w:color="auto" w:fill="auto"/>
            <w:hideMark/>
          </w:tcPr>
          <w:p w14:paraId="784C1C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AC444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D6EE8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DA0EE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Objective 2: </w:t>
            </w:r>
          </w:p>
        </w:tc>
        <w:tc>
          <w:tcPr>
            <w:tcW w:w="6762" w:type="dxa"/>
            <w:tcBorders>
              <w:top w:val="nil"/>
              <w:left w:val="nil"/>
              <w:bottom w:val="single" w:sz="4" w:space="0" w:color="auto"/>
              <w:right w:val="single" w:sz="4" w:space="0" w:color="auto"/>
            </w:tcBorders>
            <w:shd w:val="clear" w:color="auto" w:fill="auto"/>
            <w:hideMark/>
          </w:tcPr>
          <w:p w14:paraId="727B7C2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a Software as a Service (SaaS) Toolset Utilizing the PrimeBook:</w:t>
            </w:r>
          </w:p>
        </w:tc>
        <w:tc>
          <w:tcPr>
            <w:tcW w:w="2566" w:type="dxa"/>
            <w:tcBorders>
              <w:top w:val="nil"/>
              <w:left w:val="nil"/>
              <w:bottom w:val="single" w:sz="4" w:space="0" w:color="auto"/>
              <w:right w:val="single" w:sz="4" w:space="0" w:color="auto"/>
            </w:tcBorders>
            <w:shd w:val="clear" w:color="auto" w:fill="auto"/>
            <w:hideMark/>
          </w:tcPr>
          <w:p w14:paraId="0657C1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2CAE0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EC475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E0106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Toolset Development: </w:t>
            </w:r>
          </w:p>
        </w:tc>
        <w:tc>
          <w:tcPr>
            <w:tcW w:w="6762" w:type="dxa"/>
            <w:tcBorders>
              <w:top w:val="nil"/>
              <w:left w:val="nil"/>
              <w:bottom w:val="single" w:sz="4" w:space="0" w:color="auto"/>
              <w:right w:val="single" w:sz="4" w:space="0" w:color="auto"/>
            </w:tcBorders>
            <w:shd w:val="clear" w:color="auto" w:fill="auto"/>
            <w:hideMark/>
          </w:tcPr>
          <w:p w14:paraId="5BE109A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second objective of the project is to create a software toolset that utilizes the PrimeBook for compression, analysis, and communication of prime number data. This toolset will be developed as a software as a service (SaaS) platform, offering subscription-based access to advanced prime number analysis and communication tools.</w:t>
            </w:r>
          </w:p>
        </w:tc>
        <w:tc>
          <w:tcPr>
            <w:tcW w:w="2566" w:type="dxa"/>
            <w:tcBorders>
              <w:top w:val="nil"/>
              <w:left w:val="nil"/>
              <w:bottom w:val="single" w:sz="4" w:space="0" w:color="auto"/>
              <w:right w:val="single" w:sz="4" w:space="0" w:color="auto"/>
            </w:tcBorders>
            <w:shd w:val="clear" w:color="auto" w:fill="auto"/>
            <w:hideMark/>
          </w:tcPr>
          <w:p w14:paraId="633BBF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DCD35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B1D9AD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CAD2F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Compression Algorithms: </w:t>
            </w:r>
          </w:p>
        </w:tc>
        <w:tc>
          <w:tcPr>
            <w:tcW w:w="6762" w:type="dxa"/>
            <w:tcBorders>
              <w:top w:val="nil"/>
              <w:left w:val="nil"/>
              <w:bottom w:val="single" w:sz="4" w:space="0" w:color="auto"/>
              <w:right w:val="single" w:sz="4" w:space="0" w:color="auto"/>
            </w:tcBorders>
            <w:shd w:val="clear" w:color="auto" w:fill="auto"/>
            <w:hideMark/>
          </w:tcPr>
          <w:p w14:paraId="350C676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toolset will incorporate advanced compression algorithms optimized for prime number data, enabling efficient storage, transmission, and processing of large prime number datasets. By leveraging the PrimeBook's computational capabilities, the toolset will offer high-speed compression and decompression of prime number data for various applications.</w:t>
            </w:r>
          </w:p>
        </w:tc>
        <w:tc>
          <w:tcPr>
            <w:tcW w:w="2566" w:type="dxa"/>
            <w:tcBorders>
              <w:top w:val="nil"/>
              <w:left w:val="nil"/>
              <w:bottom w:val="single" w:sz="4" w:space="0" w:color="auto"/>
              <w:right w:val="single" w:sz="4" w:space="0" w:color="auto"/>
            </w:tcBorders>
            <w:shd w:val="clear" w:color="auto" w:fill="auto"/>
            <w:hideMark/>
          </w:tcPr>
          <w:p w14:paraId="37E7EF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50FCD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DA4FE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B9214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Analysis Tools: </w:t>
            </w:r>
          </w:p>
        </w:tc>
        <w:tc>
          <w:tcPr>
            <w:tcW w:w="6762" w:type="dxa"/>
            <w:tcBorders>
              <w:top w:val="nil"/>
              <w:left w:val="nil"/>
              <w:bottom w:val="single" w:sz="4" w:space="0" w:color="auto"/>
              <w:right w:val="single" w:sz="4" w:space="0" w:color="auto"/>
            </w:tcBorders>
            <w:shd w:val="clear" w:color="auto" w:fill="auto"/>
            <w:hideMark/>
          </w:tcPr>
          <w:p w14:paraId="523E7B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toolset will provide a suite of analysis tools for exploring the distribution, patterns, and properties of prime numbers. Researchers and practitioners can use these tools to conduct statistical analysis, visualization, and modeling of prime number data, gaining insights into prime number theory and its applications.</w:t>
            </w:r>
          </w:p>
        </w:tc>
        <w:tc>
          <w:tcPr>
            <w:tcW w:w="2566" w:type="dxa"/>
            <w:tcBorders>
              <w:top w:val="nil"/>
              <w:left w:val="nil"/>
              <w:bottom w:val="single" w:sz="4" w:space="0" w:color="auto"/>
              <w:right w:val="single" w:sz="4" w:space="0" w:color="auto"/>
            </w:tcBorders>
            <w:shd w:val="clear" w:color="auto" w:fill="auto"/>
            <w:hideMark/>
          </w:tcPr>
          <w:p w14:paraId="421309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E0F92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101A2F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D6DC1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Communication Platform: </w:t>
            </w:r>
          </w:p>
        </w:tc>
        <w:tc>
          <w:tcPr>
            <w:tcW w:w="6762" w:type="dxa"/>
            <w:tcBorders>
              <w:top w:val="nil"/>
              <w:left w:val="nil"/>
              <w:bottom w:val="single" w:sz="4" w:space="0" w:color="auto"/>
              <w:right w:val="single" w:sz="4" w:space="0" w:color="auto"/>
            </w:tcBorders>
            <w:shd w:val="clear" w:color="auto" w:fill="auto"/>
            <w:hideMark/>
          </w:tcPr>
          <w:p w14:paraId="7BC634D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toolset will serve as a communication platform for sharing prime number data, research findings, and insights with the mathematics community and the general public. Users can collaborate, share resources, and exchange ideas through interactive forums, discussion groups, and online seminars hosted on the platform.</w:t>
            </w:r>
          </w:p>
        </w:tc>
        <w:tc>
          <w:tcPr>
            <w:tcW w:w="2566" w:type="dxa"/>
            <w:tcBorders>
              <w:top w:val="nil"/>
              <w:left w:val="nil"/>
              <w:bottom w:val="single" w:sz="4" w:space="0" w:color="auto"/>
              <w:right w:val="single" w:sz="4" w:space="0" w:color="auto"/>
            </w:tcBorders>
            <w:shd w:val="clear" w:color="auto" w:fill="auto"/>
            <w:hideMark/>
          </w:tcPr>
          <w:p w14:paraId="7DE54D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CFF7B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1C22B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07BBA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20B7AA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11885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A4F60C"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196026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A6DEE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4C306D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objectives encompass a wide range of activities and initiatives aimed at promoting accessibility, collaboration, and innovation in prime number research and analysis. By creating an open-free-source database of easily available primes and developing a software toolset utilizing the PrimeBook for compression, analysis, and communication, the project aims to empower researchers, educators, students, and enthusiasts to explore the fascinating world of prime numbers and their applications in science, technology, and society.</w:t>
            </w:r>
          </w:p>
        </w:tc>
        <w:tc>
          <w:tcPr>
            <w:tcW w:w="2566" w:type="dxa"/>
            <w:tcBorders>
              <w:top w:val="nil"/>
              <w:left w:val="nil"/>
              <w:bottom w:val="single" w:sz="4" w:space="0" w:color="auto"/>
              <w:right w:val="single" w:sz="4" w:space="0" w:color="auto"/>
            </w:tcBorders>
            <w:shd w:val="clear" w:color="auto" w:fill="auto"/>
            <w:hideMark/>
          </w:tcPr>
          <w:p w14:paraId="58EAFAD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89E81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880073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A0E50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7F0B8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strategic partnerships, community engagement, and continuous development efforts, the project seeks to establish itself as a leading resource for prime number research, education, and innovation, fostering interdisciplinary collaboration and advancing scientific knowledge in prime number theory and related fields.</w:t>
            </w:r>
          </w:p>
        </w:tc>
        <w:tc>
          <w:tcPr>
            <w:tcW w:w="2566" w:type="dxa"/>
            <w:tcBorders>
              <w:top w:val="nil"/>
              <w:left w:val="nil"/>
              <w:bottom w:val="single" w:sz="4" w:space="0" w:color="auto"/>
              <w:right w:val="single" w:sz="4" w:space="0" w:color="auto"/>
            </w:tcBorders>
            <w:shd w:val="clear" w:color="auto" w:fill="auto"/>
            <w:hideMark/>
          </w:tcPr>
          <w:p w14:paraId="71EAB0B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1547B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C99C0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7CC7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F5B18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EA968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279462" w14:textId="77777777" w:rsidTr="0041317E">
        <w:trPr>
          <w:trHeight w:val="4608"/>
        </w:trPr>
        <w:tc>
          <w:tcPr>
            <w:tcW w:w="1349" w:type="dxa"/>
            <w:tcBorders>
              <w:top w:val="nil"/>
              <w:left w:val="single" w:sz="4" w:space="0" w:color="auto"/>
              <w:bottom w:val="single" w:sz="4" w:space="0" w:color="auto"/>
              <w:right w:val="single" w:sz="4" w:space="0" w:color="auto"/>
            </w:tcBorders>
            <w:shd w:val="clear" w:color="auto" w:fill="auto"/>
            <w:hideMark/>
          </w:tcPr>
          <w:p w14:paraId="0F6E385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12732B4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Potential Impact: </w:t>
            </w:r>
          </w:p>
        </w:tc>
        <w:tc>
          <w:tcPr>
            <w:tcW w:w="6762" w:type="dxa"/>
            <w:tcBorders>
              <w:top w:val="nil"/>
              <w:left w:val="nil"/>
              <w:bottom w:val="single" w:sz="4" w:space="0" w:color="auto"/>
              <w:right w:val="single" w:sz="4" w:space="0" w:color="auto"/>
            </w:tcBorders>
            <w:shd w:val="clear" w:color="auto" w:fill="auto"/>
            <w:hideMark/>
          </w:tcPr>
          <w:p w14:paraId="67512BC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Discuss the potential impact of the project on advancing mathematical understanding, addressing practical challenges, or inspiring further research in related fields. Emphasize how insights gained from the project could have broader implications beyond pure mathematics.</w:t>
            </w:r>
          </w:p>
        </w:tc>
        <w:tc>
          <w:tcPr>
            <w:tcW w:w="2566" w:type="dxa"/>
            <w:tcBorders>
              <w:top w:val="nil"/>
              <w:left w:val="nil"/>
              <w:bottom w:val="single" w:sz="4" w:space="0" w:color="auto"/>
              <w:right w:val="single" w:sz="4" w:space="0" w:color="auto"/>
            </w:tcBorders>
            <w:shd w:val="clear" w:color="auto" w:fill="auto"/>
            <w:hideMark/>
          </w:tcPr>
          <w:p w14:paraId="300A10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Impact upon the computing industry, every computer will have a built in primebook that will facility faster computation and compression.  Infinite prime mathematics and irrational computing using pi and e being paired togeather in a harmony and balance never before seen.  An on-silicon install upon every future electronic computational device that utilizes Quantum-AgeSilicon and Quantum Computing.</w:t>
            </w:r>
          </w:p>
        </w:tc>
      </w:tr>
      <w:tr w:rsidR="0041317E" w:rsidRPr="0041317E" w14:paraId="6DF4F55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27428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45795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D4D456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proposed project has the potential to have a profound impact on advancing mathematical understanding, addressing practical challenges, and inspiring further research in related fields. Here's an in-depth exploration of the potential impact of the project:</w:t>
            </w:r>
          </w:p>
        </w:tc>
        <w:tc>
          <w:tcPr>
            <w:tcW w:w="2566" w:type="dxa"/>
            <w:tcBorders>
              <w:top w:val="nil"/>
              <w:left w:val="nil"/>
              <w:bottom w:val="single" w:sz="4" w:space="0" w:color="auto"/>
              <w:right w:val="single" w:sz="4" w:space="0" w:color="auto"/>
            </w:tcBorders>
            <w:shd w:val="clear" w:color="auto" w:fill="auto"/>
            <w:hideMark/>
          </w:tcPr>
          <w:p w14:paraId="486BE31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8C460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975566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80D66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Impact on the Computing Industry:</w:t>
            </w:r>
          </w:p>
        </w:tc>
        <w:tc>
          <w:tcPr>
            <w:tcW w:w="6762" w:type="dxa"/>
            <w:tcBorders>
              <w:top w:val="nil"/>
              <w:left w:val="nil"/>
              <w:bottom w:val="single" w:sz="4" w:space="0" w:color="auto"/>
              <w:right w:val="single" w:sz="4" w:space="0" w:color="auto"/>
            </w:tcBorders>
            <w:shd w:val="clear" w:color="auto" w:fill="auto"/>
            <w:hideMark/>
          </w:tcPr>
          <w:p w14:paraId="4AAD381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4D463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256F7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566AF3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5DA24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Integration of PrimeBook into Computing Devices: </w:t>
            </w:r>
          </w:p>
        </w:tc>
        <w:tc>
          <w:tcPr>
            <w:tcW w:w="6762" w:type="dxa"/>
            <w:tcBorders>
              <w:top w:val="nil"/>
              <w:left w:val="nil"/>
              <w:bottom w:val="single" w:sz="4" w:space="0" w:color="auto"/>
              <w:right w:val="single" w:sz="4" w:space="0" w:color="auto"/>
            </w:tcBorders>
            <w:shd w:val="clear" w:color="auto" w:fill="auto"/>
            <w:hideMark/>
          </w:tcPr>
          <w:p w14:paraId="062880C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integration of PrimeBook into computing devices could revolutionize the computing industry by providing built-in access to prime number databases and algorithms. This integration would facilitate faster computation, more efficient data compression, and enhanced security for a wide range of applications, from scientific research to financial transactions.</w:t>
            </w:r>
          </w:p>
        </w:tc>
        <w:tc>
          <w:tcPr>
            <w:tcW w:w="2566" w:type="dxa"/>
            <w:tcBorders>
              <w:top w:val="nil"/>
              <w:left w:val="nil"/>
              <w:bottom w:val="single" w:sz="4" w:space="0" w:color="auto"/>
              <w:right w:val="single" w:sz="4" w:space="0" w:color="auto"/>
            </w:tcBorders>
            <w:shd w:val="clear" w:color="auto" w:fill="auto"/>
            <w:hideMark/>
          </w:tcPr>
          <w:p w14:paraId="5AE1F2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0E50B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C3105F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BD916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Enhanced Computational Performance: </w:t>
            </w:r>
          </w:p>
        </w:tc>
        <w:tc>
          <w:tcPr>
            <w:tcW w:w="6762" w:type="dxa"/>
            <w:tcBorders>
              <w:top w:val="nil"/>
              <w:left w:val="nil"/>
              <w:bottom w:val="single" w:sz="4" w:space="0" w:color="auto"/>
              <w:right w:val="single" w:sz="4" w:space="0" w:color="auto"/>
            </w:tcBorders>
            <w:shd w:val="clear" w:color="auto" w:fill="auto"/>
            <w:hideMark/>
          </w:tcPr>
          <w:p w14:paraId="467F94E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Every computer equipped with a built-in PrimeBook would benefit from enhanced computational performance, as prime number algorithms are integral to many computational tasks, including cryptography, data analysis, and optimization. By leveraging the computational power of PrimeBook, computing devices can execute complex algorithms more efficiently and process large datasets with greater speed and accuracy.</w:t>
            </w:r>
          </w:p>
        </w:tc>
        <w:tc>
          <w:tcPr>
            <w:tcW w:w="2566" w:type="dxa"/>
            <w:tcBorders>
              <w:top w:val="nil"/>
              <w:left w:val="nil"/>
              <w:bottom w:val="single" w:sz="4" w:space="0" w:color="auto"/>
              <w:right w:val="single" w:sz="4" w:space="0" w:color="auto"/>
            </w:tcBorders>
            <w:shd w:val="clear" w:color="auto" w:fill="auto"/>
            <w:hideMark/>
          </w:tcPr>
          <w:p w14:paraId="27811B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55C40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33BA3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FC144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Infinite Prime Mathematics and Irrational Computing:</w:t>
            </w:r>
          </w:p>
        </w:tc>
        <w:tc>
          <w:tcPr>
            <w:tcW w:w="6762" w:type="dxa"/>
            <w:tcBorders>
              <w:top w:val="nil"/>
              <w:left w:val="nil"/>
              <w:bottom w:val="single" w:sz="4" w:space="0" w:color="auto"/>
              <w:right w:val="single" w:sz="4" w:space="0" w:color="auto"/>
            </w:tcBorders>
            <w:shd w:val="clear" w:color="auto" w:fill="auto"/>
            <w:hideMark/>
          </w:tcPr>
          <w:p w14:paraId="5EA1E8A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66C30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2C05E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64D44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5C63A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Exploration of Infinite Prime Mathematics: </w:t>
            </w:r>
          </w:p>
        </w:tc>
        <w:tc>
          <w:tcPr>
            <w:tcW w:w="6762" w:type="dxa"/>
            <w:tcBorders>
              <w:top w:val="nil"/>
              <w:left w:val="nil"/>
              <w:bottom w:val="single" w:sz="4" w:space="0" w:color="auto"/>
              <w:right w:val="single" w:sz="4" w:space="0" w:color="auto"/>
            </w:tcBorders>
            <w:shd w:val="clear" w:color="auto" w:fill="auto"/>
            <w:hideMark/>
          </w:tcPr>
          <w:p w14:paraId="2C6875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project could pave the way for exploring the depths of infinite prime mathematics, unlocking new insights into the distribution, properties, and patterns of prime numbers. Insights gained from PrimeBook-enabled computations could lead to breakthroughs in prime number theory, including the resolution of longstanding conjectures such as the twin prime conjecture and the Goldbach conjecture.</w:t>
            </w:r>
          </w:p>
        </w:tc>
        <w:tc>
          <w:tcPr>
            <w:tcW w:w="2566" w:type="dxa"/>
            <w:tcBorders>
              <w:top w:val="nil"/>
              <w:left w:val="nil"/>
              <w:bottom w:val="single" w:sz="4" w:space="0" w:color="auto"/>
              <w:right w:val="single" w:sz="4" w:space="0" w:color="auto"/>
            </w:tcBorders>
            <w:shd w:val="clear" w:color="auto" w:fill="auto"/>
            <w:hideMark/>
          </w:tcPr>
          <w:p w14:paraId="3E6357C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CB2F48"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7EB2B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FA9E3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Integration of Pi and e in Irrational Computing: </w:t>
            </w:r>
          </w:p>
        </w:tc>
        <w:tc>
          <w:tcPr>
            <w:tcW w:w="6762" w:type="dxa"/>
            <w:tcBorders>
              <w:top w:val="nil"/>
              <w:left w:val="nil"/>
              <w:bottom w:val="single" w:sz="4" w:space="0" w:color="auto"/>
              <w:right w:val="single" w:sz="4" w:space="0" w:color="auto"/>
            </w:tcBorders>
            <w:shd w:val="clear" w:color="auto" w:fill="auto"/>
            <w:hideMark/>
          </w:tcPr>
          <w:p w14:paraId="4093D38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project could also lead to the integration of mathematical constants such as pi (π) and Euler's number (e) in irrational computing, where prime numbers serve as fundamental building blocks for computational algorithms. By harmonizing prime numbers with pi and e, researchers can develop novel computational techniques that harness the power of irrationality to solve complex problems in mathematics, physics, and engineering.</w:t>
            </w:r>
          </w:p>
        </w:tc>
        <w:tc>
          <w:tcPr>
            <w:tcW w:w="2566" w:type="dxa"/>
            <w:tcBorders>
              <w:top w:val="nil"/>
              <w:left w:val="nil"/>
              <w:bottom w:val="single" w:sz="4" w:space="0" w:color="auto"/>
              <w:right w:val="single" w:sz="4" w:space="0" w:color="auto"/>
            </w:tcBorders>
            <w:shd w:val="clear" w:color="auto" w:fill="auto"/>
            <w:hideMark/>
          </w:tcPr>
          <w:p w14:paraId="0225F8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842BF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EE1A3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565E6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On-Silicon Install with Quantum-Age Silicon and Quantum Computing:</w:t>
            </w:r>
          </w:p>
        </w:tc>
        <w:tc>
          <w:tcPr>
            <w:tcW w:w="6762" w:type="dxa"/>
            <w:tcBorders>
              <w:top w:val="nil"/>
              <w:left w:val="nil"/>
              <w:bottom w:val="single" w:sz="4" w:space="0" w:color="auto"/>
              <w:right w:val="single" w:sz="4" w:space="0" w:color="auto"/>
            </w:tcBorders>
            <w:shd w:val="clear" w:color="auto" w:fill="auto"/>
            <w:hideMark/>
          </w:tcPr>
          <w:p w14:paraId="3970B6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10EDE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9AB3D9"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19648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6112C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Future of Computing: </w:t>
            </w:r>
          </w:p>
        </w:tc>
        <w:tc>
          <w:tcPr>
            <w:tcW w:w="6762" w:type="dxa"/>
            <w:tcBorders>
              <w:top w:val="nil"/>
              <w:left w:val="nil"/>
              <w:bottom w:val="single" w:sz="4" w:space="0" w:color="auto"/>
              <w:right w:val="single" w:sz="4" w:space="0" w:color="auto"/>
            </w:tcBorders>
            <w:shd w:val="clear" w:color="auto" w:fill="auto"/>
            <w:hideMark/>
          </w:tcPr>
          <w:p w14:paraId="6019735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project could shape the future of computing by advocating for the on-silicon installation of PrimeBook on every future electronic computational device, including those utilizing Quantum-Age Silicon and Quantum Computing technologies. This integration would enable quantum-enhanced prime number computations and accelerate the development of next-generation computing systems with unprecedented speed, efficiency, and scalability.</w:t>
            </w:r>
          </w:p>
        </w:tc>
        <w:tc>
          <w:tcPr>
            <w:tcW w:w="2566" w:type="dxa"/>
            <w:tcBorders>
              <w:top w:val="nil"/>
              <w:left w:val="nil"/>
              <w:bottom w:val="single" w:sz="4" w:space="0" w:color="auto"/>
              <w:right w:val="single" w:sz="4" w:space="0" w:color="auto"/>
            </w:tcBorders>
            <w:shd w:val="clear" w:color="auto" w:fill="auto"/>
            <w:hideMark/>
          </w:tcPr>
          <w:p w14:paraId="4B69D84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96DC1F"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7F24B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36D71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Quantum-Age Computing: </w:t>
            </w:r>
          </w:p>
        </w:tc>
        <w:tc>
          <w:tcPr>
            <w:tcW w:w="6762" w:type="dxa"/>
            <w:tcBorders>
              <w:top w:val="nil"/>
              <w:left w:val="nil"/>
              <w:bottom w:val="single" w:sz="4" w:space="0" w:color="auto"/>
              <w:right w:val="single" w:sz="4" w:space="0" w:color="auto"/>
            </w:tcBorders>
            <w:shd w:val="clear" w:color="auto" w:fill="auto"/>
            <w:hideMark/>
          </w:tcPr>
          <w:p w14:paraId="33E585B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 numbers have inherent quantum properties that make them ideal candidates for quantum computing algorithms. By harnessing the principles of quantum mechanics, researchers can leverage PrimeBook-enabled quantum computations to solve optimization problems, simulate quantum systems, and break cryptographic codes with unparalleled efficiency and security.</w:t>
            </w:r>
          </w:p>
        </w:tc>
        <w:tc>
          <w:tcPr>
            <w:tcW w:w="2566" w:type="dxa"/>
            <w:tcBorders>
              <w:top w:val="nil"/>
              <w:left w:val="nil"/>
              <w:bottom w:val="single" w:sz="4" w:space="0" w:color="auto"/>
              <w:right w:val="single" w:sz="4" w:space="0" w:color="auto"/>
            </w:tcBorders>
            <w:shd w:val="clear" w:color="auto" w:fill="auto"/>
            <w:hideMark/>
          </w:tcPr>
          <w:p w14:paraId="07485F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0526E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C879D7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B03F4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7978ACC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8875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EC0608"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03B3468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A5DA1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8ACD33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potential impact of the project extends far beyond advancing mathematical understanding to revolutionizing the computing industry, exploring infinite prime mathematics, and shaping the future of computing in the quantum age. By integrating PrimeBook into computing devices, harmonizing prime numbers with mathematical constants, and advocating for on-silicon installation on future electronic computational devices, the project can inspire innovation, drive technological advancement, and unlock new frontiers in science, engineering, and beyond.</w:t>
            </w:r>
          </w:p>
        </w:tc>
        <w:tc>
          <w:tcPr>
            <w:tcW w:w="2566" w:type="dxa"/>
            <w:tcBorders>
              <w:top w:val="nil"/>
              <w:left w:val="nil"/>
              <w:bottom w:val="single" w:sz="4" w:space="0" w:color="auto"/>
              <w:right w:val="single" w:sz="4" w:space="0" w:color="auto"/>
            </w:tcBorders>
            <w:shd w:val="clear" w:color="auto" w:fill="auto"/>
            <w:hideMark/>
          </w:tcPr>
          <w:p w14:paraId="4930A30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8A811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EB058B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484F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18241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strategic partnerships, interdisciplinary collaboration, and continuous research efforts, the project aims to realize its vision of transforming prime number theory into practical solutions that benefit society, economy, and the environment.</w:t>
            </w:r>
          </w:p>
        </w:tc>
        <w:tc>
          <w:tcPr>
            <w:tcW w:w="2566" w:type="dxa"/>
            <w:tcBorders>
              <w:top w:val="nil"/>
              <w:left w:val="nil"/>
              <w:bottom w:val="single" w:sz="4" w:space="0" w:color="auto"/>
              <w:right w:val="single" w:sz="4" w:space="0" w:color="auto"/>
            </w:tcBorders>
            <w:shd w:val="clear" w:color="auto" w:fill="auto"/>
            <w:hideMark/>
          </w:tcPr>
          <w:p w14:paraId="242DEA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05AA4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87904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B782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24F8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36530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3CD0A9" w14:textId="77777777" w:rsidTr="0041317E">
        <w:trPr>
          <w:trHeight w:val="3456"/>
        </w:trPr>
        <w:tc>
          <w:tcPr>
            <w:tcW w:w="1349" w:type="dxa"/>
            <w:tcBorders>
              <w:top w:val="nil"/>
              <w:left w:val="single" w:sz="4" w:space="0" w:color="auto"/>
              <w:bottom w:val="single" w:sz="4" w:space="0" w:color="auto"/>
              <w:right w:val="single" w:sz="4" w:space="0" w:color="auto"/>
            </w:tcBorders>
            <w:shd w:val="clear" w:color="auto" w:fill="auto"/>
            <w:hideMark/>
          </w:tcPr>
          <w:p w14:paraId="30616F8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 Project Overview: </w:t>
            </w:r>
          </w:p>
        </w:tc>
        <w:tc>
          <w:tcPr>
            <w:tcW w:w="2363" w:type="dxa"/>
            <w:tcBorders>
              <w:top w:val="nil"/>
              <w:left w:val="nil"/>
              <w:bottom w:val="single" w:sz="4" w:space="0" w:color="auto"/>
              <w:right w:val="single" w:sz="4" w:space="0" w:color="auto"/>
            </w:tcBorders>
            <w:shd w:val="clear" w:color="auto" w:fill="auto"/>
            <w:hideMark/>
          </w:tcPr>
          <w:p w14:paraId="250182D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8. Conclusion: </w:t>
            </w:r>
          </w:p>
        </w:tc>
        <w:tc>
          <w:tcPr>
            <w:tcW w:w="6762" w:type="dxa"/>
            <w:tcBorders>
              <w:top w:val="nil"/>
              <w:left w:val="nil"/>
              <w:bottom w:val="single" w:sz="4" w:space="0" w:color="auto"/>
              <w:right w:val="single" w:sz="4" w:space="0" w:color="auto"/>
            </w:tcBorders>
            <w:shd w:val="clear" w:color="auto" w:fill="auto"/>
            <w:hideMark/>
          </w:tcPr>
          <w:p w14:paraId="4604327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Conclude the project overview by reinforcing the importance of studying prime numbers and highlighting the significance of the proposed research project in contributing to mathematical knowledge and real-world applications.  By providing a comprehensive overview, potential backers will gain a clear understanding of the significance and potential impact of the project on counting primes.</w:t>
            </w:r>
          </w:p>
        </w:tc>
        <w:tc>
          <w:tcPr>
            <w:tcW w:w="2566" w:type="dxa"/>
            <w:tcBorders>
              <w:top w:val="nil"/>
              <w:left w:val="nil"/>
              <w:bottom w:val="single" w:sz="4" w:space="0" w:color="auto"/>
              <w:right w:val="single" w:sz="4" w:space="0" w:color="auto"/>
            </w:tcBorders>
            <w:shd w:val="clear" w:color="auto" w:fill="auto"/>
            <w:hideMark/>
          </w:tcPr>
          <w:p w14:paraId="2A0FDA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Aim to create two products, PrimeBookOne and The Toolset SAAS.  Primes used in many industries today.  Value can be created to find primes for entusiasts with find-certificates.  Aiming to represent very-large numbers, this is and infinitely-large project run on a tea-cup of computers to begin.</w:t>
            </w:r>
          </w:p>
        </w:tc>
      </w:tr>
      <w:tr w:rsidR="0041317E" w:rsidRPr="0041317E" w14:paraId="60C24E2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11DBD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FCF7F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C1148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proposed research project on counting primes aims to make significant contributions to mathematical knowledge and real-world applications by creating two innovative products: PrimeBookOne and The Toolset SAAS. Through a comprehensive overview, potential backers will gain a clear understanding of the importance and potential impact of the project on counting primes.</w:t>
            </w:r>
          </w:p>
        </w:tc>
        <w:tc>
          <w:tcPr>
            <w:tcW w:w="2566" w:type="dxa"/>
            <w:tcBorders>
              <w:top w:val="nil"/>
              <w:left w:val="nil"/>
              <w:bottom w:val="single" w:sz="4" w:space="0" w:color="auto"/>
              <w:right w:val="single" w:sz="4" w:space="0" w:color="auto"/>
            </w:tcBorders>
            <w:shd w:val="clear" w:color="auto" w:fill="auto"/>
            <w:hideMark/>
          </w:tcPr>
          <w:p w14:paraId="4D3E0E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028CE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93D41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FA43B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Importance of Studying Prime Numbers:</w:t>
            </w:r>
          </w:p>
        </w:tc>
        <w:tc>
          <w:tcPr>
            <w:tcW w:w="6762" w:type="dxa"/>
            <w:tcBorders>
              <w:top w:val="nil"/>
              <w:left w:val="nil"/>
              <w:bottom w:val="single" w:sz="4" w:space="0" w:color="auto"/>
              <w:right w:val="single" w:sz="4" w:space="0" w:color="auto"/>
            </w:tcBorders>
            <w:shd w:val="clear" w:color="auto" w:fill="auto"/>
            <w:hideMark/>
          </w:tcPr>
          <w:p w14:paraId="6504EB0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8B8FE5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5CDC63"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48E340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2D26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22D7E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are not just abstract mathematical concepts; they are fundamental to various industries and scientific disciplines. From cryptography and computer science to space navigation and molecular research, prime numbers play a crucial role in shaping modern technology and innovation. By studying prime numbers, researchers can unlock new insights into the structure of mathematics and develop practical solutions to real-world challenges.</w:t>
            </w:r>
          </w:p>
        </w:tc>
        <w:tc>
          <w:tcPr>
            <w:tcW w:w="2566" w:type="dxa"/>
            <w:tcBorders>
              <w:top w:val="nil"/>
              <w:left w:val="nil"/>
              <w:bottom w:val="single" w:sz="4" w:space="0" w:color="auto"/>
              <w:right w:val="single" w:sz="4" w:space="0" w:color="auto"/>
            </w:tcBorders>
            <w:shd w:val="clear" w:color="auto" w:fill="auto"/>
            <w:hideMark/>
          </w:tcPr>
          <w:p w14:paraId="6FC1656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58CE3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A7FC1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2BFE9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Significance of the Proposed Research Project:</w:t>
            </w:r>
          </w:p>
        </w:tc>
        <w:tc>
          <w:tcPr>
            <w:tcW w:w="6762" w:type="dxa"/>
            <w:tcBorders>
              <w:top w:val="nil"/>
              <w:left w:val="nil"/>
              <w:bottom w:val="single" w:sz="4" w:space="0" w:color="auto"/>
              <w:right w:val="single" w:sz="4" w:space="0" w:color="auto"/>
            </w:tcBorders>
            <w:shd w:val="clear" w:color="auto" w:fill="auto"/>
            <w:hideMark/>
          </w:tcPr>
          <w:p w14:paraId="6CD29CB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6D37C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552E1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BEB05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4ED33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0A1D2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proposed research project aims to create two groundbreaking products that will revolutionize the way prime numbers are accessed, analyzed, and utilized:</w:t>
            </w:r>
          </w:p>
        </w:tc>
        <w:tc>
          <w:tcPr>
            <w:tcW w:w="2566" w:type="dxa"/>
            <w:tcBorders>
              <w:top w:val="nil"/>
              <w:left w:val="nil"/>
              <w:bottom w:val="single" w:sz="4" w:space="0" w:color="auto"/>
              <w:right w:val="single" w:sz="4" w:space="0" w:color="auto"/>
            </w:tcBorders>
            <w:shd w:val="clear" w:color="auto" w:fill="auto"/>
            <w:hideMark/>
          </w:tcPr>
          <w:p w14:paraId="300D4D2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B9F0B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3D674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52C3B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PrimeBookOne: </w:t>
            </w:r>
          </w:p>
        </w:tc>
        <w:tc>
          <w:tcPr>
            <w:tcW w:w="6762" w:type="dxa"/>
            <w:tcBorders>
              <w:top w:val="nil"/>
              <w:left w:val="nil"/>
              <w:bottom w:val="single" w:sz="4" w:space="0" w:color="auto"/>
              <w:right w:val="single" w:sz="4" w:space="0" w:color="auto"/>
            </w:tcBorders>
            <w:shd w:val="clear" w:color="auto" w:fill="auto"/>
            <w:hideMark/>
          </w:tcPr>
          <w:p w14:paraId="032AE0A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PrimeBookOne will serve as a comprehensive open-source database of prime numbers, providing easy access to prime number data for researchers, educators, and enthusiasts worldwide. By democratizing access to prime numbers, PrimeBookOne aims to foster collaboration, innovation, and discovery in prime number theory and related fields.</w:t>
            </w:r>
          </w:p>
        </w:tc>
        <w:tc>
          <w:tcPr>
            <w:tcW w:w="2566" w:type="dxa"/>
            <w:tcBorders>
              <w:top w:val="nil"/>
              <w:left w:val="nil"/>
              <w:bottom w:val="single" w:sz="4" w:space="0" w:color="auto"/>
              <w:right w:val="single" w:sz="4" w:space="0" w:color="auto"/>
            </w:tcBorders>
            <w:shd w:val="clear" w:color="auto" w:fill="auto"/>
            <w:hideMark/>
          </w:tcPr>
          <w:p w14:paraId="1EF84D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E3C5D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6539AD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68944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The Toolset SAAS: </w:t>
            </w:r>
          </w:p>
        </w:tc>
        <w:tc>
          <w:tcPr>
            <w:tcW w:w="6762" w:type="dxa"/>
            <w:tcBorders>
              <w:top w:val="nil"/>
              <w:left w:val="nil"/>
              <w:bottom w:val="single" w:sz="4" w:space="0" w:color="auto"/>
              <w:right w:val="single" w:sz="4" w:space="0" w:color="auto"/>
            </w:tcBorders>
            <w:shd w:val="clear" w:color="auto" w:fill="auto"/>
            <w:hideMark/>
          </w:tcPr>
          <w:p w14:paraId="670C738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Toolset SAAS will complement PrimeBookOne by offering a suite of advanced tools and services for prime number analysis, compression, and communication. Through a software as a service (SAAS) model, The Toolset aims to empower users to leverage prime number data for various applications, from cryptography and data analysis to scientific research and education.</w:t>
            </w:r>
          </w:p>
        </w:tc>
        <w:tc>
          <w:tcPr>
            <w:tcW w:w="2566" w:type="dxa"/>
            <w:tcBorders>
              <w:top w:val="nil"/>
              <w:left w:val="nil"/>
              <w:bottom w:val="single" w:sz="4" w:space="0" w:color="auto"/>
              <w:right w:val="single" w:sz="4" w:space="0" w:color="auto"/>
            </w:tcBorders>
            <w:shd w:val="clear" w:color="auto" w:fill="auto"/>
            <w:hideMark/>
          </w:tcPr>
          <w:p w14:paraId="63B7F94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D44E3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42A35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64B1D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Creating Value for Enthusiasts with Find-Certificates:</w:t>
            </w:r>
          </w:p>
        </w:tc>
        <w:tc>
          <w:tcPr>
            <w:tcW w:w="6762" w:type="dxa"/>
            <w:tcBorders>
              <w:top w:val="nil"/>
              <w:left w:val="nil"/>
              <w:bottom w:val="single" w:sz="4" w:space="0" w:color="auto"/>
              <w:right w:val="single" w:sz="4" w:space="0" w:color="auto"/>
            </w:tcBorders>
            <w:shd w:val="clear" w:color="auto" w:fill="auto"/>
            <w:hideMark/>
          </w:tcPr>
          <w:p w14:paraId="3C07B4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E9F282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A5B199" w14:textId="77777777" w:rsidTr="0041317E">
        <w:trPr>
          <w:trHeight w:val="360"/>
        </w:trPr>
        <w:tc>
          <w:tcPr>
            <w:tcW w:w="1349" w:type="dxa"/>
            <w:tcBorders>
              <w:top w:val="nil"/>
              <w:left w:val="single" w:sz="4" w:space="0" w:color="auto"/>
              <w:bottom w:val="single" w:sz="4" w:space="0" w:color="auto"/>
              <w:right w:val="single" w:sz="4" w:space="0" w:color="auto"/>
            </w:tcBorders>
            <w:shd w:val="clear" w:color="auto" w:fill="auto"/>
            <w:hideMark/>
          </w:tcPr>
          <w:p w14:paraId="0DCA4D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0B40E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C6846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aims to create value for prime number enthusiasts by introducing find-certificates, which validate prime number discoveries and recognize contributors to the prime number database. By incentivizing prime number exploration and discovery, the project seeks to engage a broader audience in prime number research and promote a culture of collaboration and discovery.</w:t>
            </w:r>
          </w:p>
        </w:tc>
        <w:tc>
          <w:tcPr>
            <w:tcW w:w="2566" w:type="dxa"/>
            <w:tcBorders>
              <w:top w:val="nil"/>
              <w:left w:val="nil"/>
              <w:bottom w:val="single" w:sz="4" w:space="0" w:color="auto"/>
              <w:right w:val="single" w:sz="4" w:space="0" w:color="auto"/>
            </w:tcBorders>
            <w:shd w:val="clear" w:color="auto" w:fill="auto"/>
            <w:hideMark/>
          </w:tcPr>
          <w:p w14:paraId="49D19D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16DB5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49AFC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C7EEC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Aiming to Represent Very-Large Numbers:</w:t>
            </w:r>
          </w:p>
        </w:tc>
        <w:tc>
          <w:tcPr>
            <w:tcW w:w="6762" w:type="dxa"/>
            <w:tcBorders>
              <w:top w:val="nil"/>
              <w:left w:val="nil"/>
              <w:bottom w:val="single" w:sz="4" w:space="0" w:color="auto"/>
              <w:right w:val="single" w:sz="4" w:space="0" w:color="auto"/>
            </w:tcBorders>
            <w:shd w:val="clear" w:color="auto" w:fill="auto"/>
            <w:hideMark/>
          </w:tcPr>
          <w:p w14:paraId="69214D1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D9780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0543C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FE87F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6894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2512E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acknowledges the ambitious goal of representing very large numbers and acknowledges that this is an infinitely large project run on a teacup of computers to begin. However, by starting with accessible computing resources and leveraging collaborative efforts, the project aims to lay the groundwork for representing increasingly larger numbers and advancing prime number theory to new frontiers.</w:t>
            </w:r>
          </w:p>
        </w:tc>
        <w:tc>
          <w:tcPr>
            <w:tcW w:w="2566" w:type="dxa"/>
            <w:tcBorders>
              <w:top w:val="nil"/>
              <w:left w:val="nil"/>
              <w:bottom w:val="single" w:sz="4" w:space="0" w:color="auto"/>
              <w:right w:val="single" w:sz="4" w:space="0" w:color="auto"/>
            </w:tcBorders>
            <w:shd w:val="clear" w:color="auto" w:fill="auto"/>
            <w:hideMark/>
          </w:tcPr>
          <w:p w14:paraId="1153B9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0FCF3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90637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9AA5F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7DDE4F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A06A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5271F8"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E8DD1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AF634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081770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proposed research project on counting primes aims to create value for society, economy, and scientific knowledge by providing comprehensive access to prime numbers, developing innovative tools for prime number analysis, and fostering collaboration and discovery in prime number research. By supporting this project, potential backers have the opportunity to contribute to the advancement of mathematical knowledge and the realization of practical solutions that benefit humanity.</w:t>
            </w:r>
          </w:p>
        </w:tc>
        <w:tc>
          <w:tcPr>
            <w:tcW w:w="2566" w:type="dxa"/>
            <w:tcBorders>
              <w:top w:val="nil"/>
              <w:left w:val="nil"/>
              <w:bottom w:val="single" w:sz="4" w:space="0" w:color="auto"/>
              <w:right w:val="single" w:sz="4" w:space="0" w:color="auto"/>
            </w:tcBorders>
            <w:shd w:val="clear" w:color="auto" w:fill="auto"/>
            <w:hideMark/>
          </w:tcPr>
          <w:p w14:paraId="41C15E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4AB4C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FEB166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C749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04A7D8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BF27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25D01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1053A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9FAA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6AA16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DBE99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EC697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9AC7B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0383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6C7858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F5982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28094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39779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0F0B4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31962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2599E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DFA51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1F944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C7F2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A6367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284EF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D5D15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ECD49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547D642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77B1C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Define the specific goals and objectives of the project, including the milestones you aim to achieve. This helps potential funders understand what their contributions will support and the impact the project aims to make.</w:t>
            </w:r>
          </w:p>
        </w:tc>
        <w:tc>
          <w:tcPr>
            <w:tcW w:w="2566" w:type="dxa"/>
            <w:tcBorders>
              <w:top w:val="nil"/>
              <w:left w:val="nil"/>
              <w:bottom w:val="single" w:sz="4" w:space="0" w:color="auto"/>
              <w:right w:val="single" w:sz="4" w:space="0" w:color="auto"/>
            </w:tcBorders>
            <w:shd w:val="clear" w:color="auto" w:fill="auto"/>
            <w:hideMark/>
          </w:tcPr>
          <w:p w14:paraId="2FEC5DC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D00C00" w14:textId="77777777" w:rsidTr="0041317E">
        <w:trPr>
          <w:trHeight w:val="2880"/>
        </w:trPr>
        <w:tc>
          <w:tcPr>
            <w:tcW w:w="1349" w:type="dxa"/>
            <w:tcBorders>
              <w:top w:val="nil"/>
              <w:left w:val="single" w:sz="4" w:space="0" w:color="auto"/>
              <w:bottom w:val="single" w:sz="4" w:space="0" w:color="auto"/>
              <w:right w:val="single" w:sz="4" w:space="0" w:color="auto"/>
            </w:tcBorders>
            <w:shd w:val="clear" w:color="auto" w:fill="auto"/>
            <w:hideMark/>
          </w:tcPr>
          <w:p w14:paraId="3ACCC5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5CCA699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Primary Goal: </w:t>
            </w:r>
          </w:p>
        </w:tc>
        <w:tc>
          <w:tcPr>
            <w:tcW w:w="6762" w:type="dxa"/>
            <w:tcBorders>
              <w:top w:val="nil"/>
              <w:left w:val="nil"/>
              <w:bottom w:val="single" w:sz="4" w:space="0" w:color="auto"/>
              <w:right w:val="single" w:sz="4" w:space="0" w:color="auto"/>
            </w:tcBorders>
            <w:shd w:val="clear" w:color="auto" w:fill="auto"/>
            <w:hideMark/>
          </w:tcPr>
          <w:p w14:paraId="5C413A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Clearly state the primary goal of the project, which typically aligns with the broader objectives of advancing mathematical understanding or addressing specific challenges related to prime number theory.</w:t>
            </w:r>
          </w:p>
        </w:tc>
        <w:tc>
          <w:tcPr>
            <w:tcW w:w="2566" w:type="dxa"/>
            <w:tcBorders>
              <w:top w:val="nil"/>
              <w:left w:val="nil"/>
              <w:bottom w:val="single" w:sz="4" w:space="0" w:color="auto"/>
              <w:right w:val="single" w:sz="4" w:space="0" w:color="auto"/>
            </w:tcBorders>
            <w:shd w:val="clear" w:color="auto" w:fill="auto"/>
            <w:hideMark/>
          </w:tcPr>
          <w:p w14:paraId="4D5B90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Primary Goal to Create Enthusiasm to Count Primes using home, server, and quantum computers.  To use these primes for computational and scientific advancement. To prepare a database of primes that everyone may someday use.</w:t>
            </w:r>
          </w:p>
        </w:tc>
      </w:tr>
      <w:tr w:rsidR="0041317E" w:rsidRPr="0041317E" w14:paraId="2482945C"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646946E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D2AD4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E4EDCC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primary goal of the project is to create enthusiasm and engagement among individuals, researchers, and institutions worldwide to count primes using various computing resources, including home computers, servers, and quantum computers. This goal aligns with the broader objectives of advancing mathematical understanding and leveraging prime numbers for computational and scientific advancement. Here's an in-depth exploration of the primary goal:</w:t>
            </w:r>
          </w:p>
        </w:tc>
        <w:tc>
          <w:tcPr>
            <w:tcW w:w="2566" w:type="dxa"/>
            <w:tcBorders>
              <w:top w:val="nil"/>
              <w:left w:val="nil"/>
              <w:bottom w:val="single" w:sz="4" w:space="0" w:color="auto"/>
              <w:right w:val="single" w:sz="4" w:space="0" w:color="auto"/>
            </w:tcBorders>
            <w:shd w:val="clear" w:color="auto" w:fill="auto"/>
            <w:hideMark/>
          </w:tcPr>
          <w:p w14:paraId="6277AF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B4630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08247B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061D7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Creating Enthusiasm to Count Primes:</w:t>
            </w:r>
          </w:p>
        </w:tc>
        <w:tc>
          <w:tcPr>
            <w:tcW w:w="6762" w:type="dxa"/>
            <w:tcBorders>
              <w:top w:val="nil"/>
              <w:left w:val="nil"/>
              <w:bottom w:val="single" w:sz="4" w:space="0" w:color="auto"/>
              <w:right w:val="single" w:sz="4" w:space="0" w:color="auto"/>
            </w:tcBorders>
            <w:shd w:val="clear" w:color="auto" w:fill="auto"/>
            <w:hideMark/>
          </w:tcPr>
          <w:p w14:paraId="42A4F38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D1EB28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C4443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C48BA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248CC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38F24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aims to inspire and motivate individuals of all backgrounds and skill levels to participate in prime number research and exploration. By fostering enthusiasm for counting primes, the project seeks to democratize access to mathematical research and promote a culture of curiosity, discovery, and collaboration.</w:t>
            </w:r>
          </w:p>
        </w:tc>
        <w:tc>
          <w:tcPr>
            <w:tcW w:w="2566" w:type="dxa"/>
            <w:tcBorders>
              <w:top w:val="nil"/>
              <w:left w:val="nil"/>
              <w:bottom w:val="single" w:sz="4" w:space="0" w:color="auto"/>
              <w:right w:val="single" w:sz="4" w:space="0" w:color="auto"/>
            </w:tcBorders>
            <w:shd w:val="clear" w:color="auto" w:fill="auto"/>
            <w:hideMark/>
          </w:tcPr>
          <w:p w14:paraId="79B354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210790"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77ADEC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C26E6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12895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educational outreach, online forums, and community engagement initiatives, the project aims to raise awareness about the importance and relevance of prime number theory in modern science, technology, and society. By highlighting the intrinsic beauty and significance of prime numbers, the project aims to attract a diverse audience of prime number enthusiasts, educators, students, and professionals.</w:t>
            </w:r>
          </w:p>
        </w:tc>
        <w:tc>
          <w:tcPr>
            <w:tcW w:w="2566" w:type="dxa"/>
            <w:tcBorders>
              <w:top w:val="nil"/>
              <w:left w:val="nil"/>
              <w:bottom w:val="single" w:sz="4" w:space="0" w:color="auto"/>
              <w:right w:val="single" w:sz="4" w:space="0" w:color="auto"/>
            </w:tcBorders>
            <w:shd w:val="clear" w:color="auto" w:fill="auto"/>
            <w:hideMark/>
          </w:tcPr>
          <w:p w14:paraId="3F2C78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A4803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62BEBE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0555B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Utilizing Primes for Computational and Scientific Advancement:</w:t>
            </w:r>
          </w:p>
        </w:tc>
        <w:tc>
          <w:tcPr>
            <w:tcW w:w="6762" w:type="dxa"/>
            <w:tcBorders>
              <w:top w:val="nil"/>
              <w:left w:val="nil"/>
              <w:bottom w:val="single" w:sz="4" w:space="0" w:color="auto"/>
              <w:right w:val="single" w:sz="4" w:space="0" w:color="auto"/>
            </w:tcBorders>
            <w:shd w:val="clear" w:color="auto" w:fill="auto"/>
            <w:hideMark/>
          </w:tcPr>
          <w:p w14:paraId="1DB6C0D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7111D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7DA47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FD7FF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7831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18173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seeks to harness the computational power of prime numbers for advancing scientific knowledge and solving practical challenges in various fields, including cryptography, computer science, physics, and biology. By leveraging prime number algorithms and techniques, researchers can develop innovative solutions to complex problems and accelerate progress in scientific research and technological innovation.</w:t>
            </w:r>
          </w:p>
        </w:tc>
        <w:tc>
          <w:tcPr>
            <w:tcW w:w="2566" w:type="dxa"/>
            <w:tcBorders>
              <w:top w:val="nil"/>
              <w:left w:val="nil"/>
              <w:bottom w:val="single" w:sz="4" w:space="0" w:color="auto"/>
              <w:right w:val="single" w:sz="4" w:space="0" w:color="auto"/>
            </w:tcBorders>
            <w:shd w:val="clear" w:color="auto" w:fill="auto"/>
            <w:hideMark/>
          </w:tcPr>
          <w:p w14:paraId="793F7B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65A00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61A60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FFE1C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F85523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are essential components of cryptographic algorithms, optimization techniques, and data analysis methods used in diverse applications, from secure communication and data encryption to machine learning and artificial intelligence. By utilizing primes for computational and scientific advancement, the project aims to drive innovation, foster interdisciplinary collaboration, and address societal challenges in areas such as cybersecurity, healthcare, and environmental sustainability.</w:t>
            </w:r>
          </w:p>
        </w:tc>
        <w:tc>
          <w:tcPr>
            <w:tcW w:w="2566" w:type="dxa"/>
            <w:tcBorders>
              <w:top w:val="nil"/>
              <w:left w:val="nil"/>
              <w:bottom w:val="single" w:sz="4" w:space="0" w:color="auto"/>
              <w:right w:val="single" w:sz="4" w:space="0" w:color="auto"/>
            </w:tcBorders>
            <w:shd w:val="clear" w:color="auto" w:fill="auto"/>
            <w:hideMark/>
          </w:tcPr>
          <w:p w14:paraId="08AF76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9698B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BB8FB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8A628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Preparing a Database of Primes for Universal Access:</w:t>
            </w:r>
          </w:p>
        </w:tc>
        <w:tc>
          <w:tcPr>
            <w:tcW w:w="6762" w:type="dxa"/>
            <w:tcBorders>
              <w:top w:val="nil"/>
              <w:left w:val="nil"/>
              <w:bottom w:val="single" w:sz="4" w:space="0" w:color="auto"/>
              <w:right w:val="single" w:sz="4" w:space="0" w:color="auto"/>
            </w:tcBorders>
            <w:shd w:val="clear" w:color="auto" w:fill="auto"/>
            <w:hideMark/>
          </w:tcPr>
          <w:p w14:paraId="41F3481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D223D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089FB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D6DE4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EA70C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F64BE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 key objective of the project is to prepare a comprehensive database of primes that is accessible to everyone, regardless of geographical location, economic status, or technical expertise. The database will serve as a valuable resource for researchers, educators, students, and enthusiasts seeking to explore prime number theory and its applications in various domains.</w:t>
            </w:r>
          </w:p>
        </w:tc>
        <w:tc>
          <w:tcPr>
            <w:tcW w:w="2566" w:type="dxa"/>
            <w:tcBorders>
              <w:top w:val="nil"/>
              <w:left w:val="nil"/>
              <w:bottom w:val="single" w:sz="4" w:space="0" w:color="auto"/>
              <w:right w:val="single" w:sz="4" w:space="0" w:color="auto"/>
            </w:tcBorders>
            <w:shd w:val="clear" w:color="auto" w:fill="auto"/>
            <w:hideMark/>
          </w:tcPr>
          <w:p w14:paraId="72CAB8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147B5D"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3E3213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7D311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D1F6F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providing universal access to prime number data, the project aims to democratize prime number research and promote open collaboration and knowledge sharing among individuals and institutions worldwide. The database will facilitate research, education, and innovation in prime number theory and related fields, empowering users to discover new insights, develop new algorithms, and make meaningful contributions to scientific knowledge.</w:t>
            </w:r>
          </w:p>
        </w:tc>
        <w:tc>
          <w:tcPr>
            <w:tcW w:w="2566" w:type="dxa"/>
            <w:tcBorders>
              <w:top w:val="nil"/>
              <w:left w:val="nil"/>
              <w:bottom w:val="single" w:sz="4" w:space="0" w:color="auto"/>
              <w:right w:val="single" w:sz="4" w:space="0" w:color="auto"/>
            </w:tcBorders>
            <w:shd w:val="clear" w:color="auto" w:fill="auto"/>
            <w:hideMark/>
          </w:tcPr>
          <w:p w14:paraId="5DFCE61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34B8E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ECD8B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7382F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307372B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8052A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1ADBB6"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6A6ED4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E8C74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32DC5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primary goal of the project is to create enthusiasm for counting primes, utilize primes for computational and scientific advancement, and prepare a database of primes for universal access. By inspiring individuals to engage in prime number research, leveraging primes for solving practical challenges, and promoting open collaboration and knowledge sharing, the project aims to advance mathematical understanding and foster innovation in science, technology, and society.</w:t>
            </w:r>
          </w:p>
        </w:tc>
        <w:tc>
          <w:tcPr>
            <w:tcW w:w="2566" w:type="dxa"/>
            <w:tcBorders>
              <w:top w:val="nil"/>
              <w:left w:val="nil"/>
              <w:bottom w:val="single" w:sz="4" w:space="0" w:color="auto"/>
              <w:right w:val="single" w:sz="4" w:space="0" w:color="auto"/>
            </w:tcBorders>
            <w:shd w:val="clear" w:color="auto" w:fill="auto"/>
            <w:hideMark/>
          </w:tcPr>
          <w:p w14:paraId="5F3CE4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4565B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76BA0F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0A36D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E772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32778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D10BA6" w14:textId="77777777" w:rsidTr="0041317E">
        <w:trPr>
          <w:trHeight w:val="5472"/>
        </w:trPr>
        <w:tc>
          <w:tcPr>
            <w:tcW w:w="1349" w:type="dxa"/>
            <w:tcBorders>
              <w:top w:val="nil"/>
              <w:left w:val="single" w:sz="4" w:space="0" w:color="auto"/>
              <w:bottom w:val="single" w:sz="4" w:space="0" w:color="auto"/>
              <w:right w:val="single" w:sz="4" w:space="0" w:color="auto"/>
            </w:tcBorders>
            <w:shd w:val="clear" w:color="auto" w:fill="auto"/>
            <w:hideMark/>
          </w:tcPr>
          <w:p w14:paraId="2D5BFA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3C9EE84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Specific Objectives: </w:t>
            </w:r>
          </w:p>
        </w:tc>
        <w:tc>
          <w:tcPr>
            <w:tcW w:w="6762" w:type="dxa"/>
            <w:tcBorders>
              <w:top w:val="nil"/>
              <w:left w:val="nil"/>
              <w:bottom w:val="single" w:sz="4" w:space="0" w:color="auto"/>
              <w:right w:val="single" w:sz="4" w:space="0" w:color="auto"/>
            </w:tcBorders>
            <w:shd w:val="clear" w:color="auto" w:fill="auto"/>
            <w:hideMark/>
          </w:tcPr>
          <w:p w14:paraId="37424A2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Break down the primary goal into specific, measurable objectives that the project aims to accomplish. These objectives should be clear, concise, and directly related to the research focus of counting primes.</w:t>
            </w:r>
          </w:p>
        </w:tc>
        <w:tc>
          <w:tcPr>
            <w:tcW w:w="2566" w:type="dxa"/>
            <w:tcBorders>
              <w:top w:val="nil"/>
              <w:left w:val="nil"/>
              <w:bottom w:val="single" w:sz="4" w:space="0" w:color="auto"/>
              <w:right w:val="single" w:sz="4" w:space="0" w:color="auto"/>
            </w:tcBorders>
            <w:shd w:val="clear" w:color="auto" w:fill="auto"/>
            <w:hideMark/>
          </w:tcPr>
          <w:p w14:paraId="0524A4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Objective 1: Create Free Networkable Application that works on a distributed network to find primes and also share the PrimeBook for Secondary Application Utilizations.  Objective 2: Create Marketables SAAS Application that utilizes the PrimeBook for Compression, Encryption, Communication, Analysis.  Objective 3: Incorporate within Educational Markets. Objective 4: Incorporate within Server Markets.  Objective 5: Incorporate within Daily Computing Markets.</w:t>
            </w:r>
          </w:p>
        </w:tc>
      </w:tr>
      <w:tr w:rsidR="0041317E" w:rsidRPr="0041317E" w14:paraId="20A44EA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3B8DE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3B11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323397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specific objectives of the project break down the primary goal into actionable steps that are measurable and directly related to the research focus of counting primes. These objectives aim to advance mathematical understanding, promote accessibility to prime numbers, and facilitate practical applications in various markets. Here's an in-depth exploration of each objective:</w:t>
            </w:r>
          </w:p>
        </w:tc>
        <w:tc>
          <w:tcPr>
            <w:tcW w:w="2566" w:type="dxa"/>
            <w:tcBorders>
              <w:top w:val="nil"/>
              <w:left w:val="nil"/>
              <w:bottom w:val="single" w:sz="4" w:space="0" w:color="auto"/>
              <w:right w:val="single" w:sz="4" w:space="0" w:color="auto"/>
            </w:tcBorders>
            <w:shd w:val="clear" w:color="auto" w:fill="auto"/>
            <w:hideMark/>
          </w:tcPr>
          <w:p w14:paraId="4960C6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29789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A6AAF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E1F9C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Objective 1: </w:t>
            </w:r>
          </w:p>
        </w:tc>
        <w:tc>
          <w:tcPr>
            <w:tcW w:w="6762" w:type="dxa"/>
            <w:tcBorders>
              <w:top w:val="nil"/>
              <w:left w:val="nil"/>
              <w:bottom w:val="single" w:sz="4" w:space="0" w:color="auto"/>
              <w:right w:val="single" w:sz="4" w:space="0" w:color="auto"/>
            </w:tcBorders>
            <w:shd w:val="clear" w:color="auto" w:fill="auto"/>
            <w:hideMark/>
          </w:tcPr>
          <w:p w14:paraId="7D382C2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Free Networkable Application for Prime Number Discovery:</w:t>
            </w:r>
          </w:p>
        </w:tc>
        <w:tc>
          <w:tcPr>
            <w:tcW w:w="2566" w:type="dxa"/>
            <w:tcBorders>
              <w:top w:val="nil"/>
              <w:left w:val="nil"/>
              <w:bottom w:val="single" w:sz="4" w:space="0" w:color="auto"/>
              <w:right w:val="single" w:sz="4" w:space="0" w:color="auto"/>
            </w:tcBorders>
            <w:shd w:val="clear" w:color="auto" w:fill="auto"/>
            <w:hideMark/>
          </w:tcPr>
          <w:p w14:paraId="6F0274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CBC92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E035F0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60FE7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0EBED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first objective is to develop a free networkable application that operates on a distributed network to discover prime numbers collaboratively. This application will enable users to contribute computational resources from their home computers, servers, or quantum computers to search for new prime numbers and share the results with the PrimeBook database.</w:t>
            </w:r>
          </w:p>
        </w:tc>
        <w:tc>
          <w:tcPr>
            <w:tcW w:w="2566" w:type="dxa"/>
            <w:tcBorders>
              <w:top w:val="nil"/>
              <w:left w:val="nil"/>
              <w:bottom w:val="single" w:sz="4" w:space="0" w:color="auto"/>
              <w:right w:val="single" w:sz="4" w:space="0" w:color="auto"/>
            </w:tcBorders>
            <w:shd w:val="clear" w:color="auto" w:fill="auto"/>
            <w:hideMark/>
          </w:tcPr>
          <w:p w14:paraId="06BB62D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BC337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DF142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83893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34D67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harnessing the collective computational power of distributed networks, the application aims to accelerate prime number discovery, expand the PrimeBook database, and foster collaboration among prime number enthusiasts, researchers, and institutions worldwide.</w:t>
            </w:r>
          </w:p>
        </w:tc>
        <w:tc>
          <w:tcPr>
            <w:tcW w:w="2566" w:type="dxa"/>
            <w:tcBorders>
              <w:top w:val="nil"/>
              <w:left w:val="nil"/>
              <w:bottom w:val="single" w:sz="4" w:space="0" w:color="auto"/>
              <w:right w:val="single" w:sz="4" w:space="0" w:color="auto"/>
            </w:tcBorders>
            <w:shd w:val="clear" w:color="auto" w:fill="auto"/>
            <w:hideMark/>
          </w:tcPr>
          <w:p w14:paraId="6615070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CF0B3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20E7F5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373DA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446FA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7D526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534A1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2EF0A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72236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Objective 2: </w:t>
            </w:r>
          </w:p>
        </w:tc>
        <w:tc>
          <w:tcPr>
            <w:tcW w:w="6762" w:type="dxa"/>
            <w:tcBorders>
              <w:top w:val="nil"/>
              <w:left w:val="nil"/>
              <w:bottom w:val="single" w:sz="4" w:space="0" w:color="auto"/>
              <w:right w:val="single" w:sz="4" w:space="0" w:color="auto"/>
            </w:tcBorders>
            <w:shd w:val="clear" w:color="auto" w:fill="auto"/>
            <w:hideMark/>
          </w:tcPr>
          <w:p w14:paraId="10C4A63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Marketable SAAS Application for Prime Number Utilization:</w:t>
            </w:r>
          </w:p>
        </w:tc>
        <w:tc>
          <w:tcPr>
            <w:tcW w:w="2566" w:type="dxa"/>
            <w:tcBorders>
              <w:top w:val="nil"/>
              <w:left w:val="nil"/>
              <w:bottom w:val="single" w:sz="4" w:space="0" w:color="auto"/>
              <w:right w:val="single" w:sz="4" w:space="0" w:color="auto"/>
            </w:tcBorders>
            <w:shd w:val="clear" w:color="auto" w:fill="auto"/>
            <w:hideMark/>
          </w:tcPr>
          <w:p w14:paraId="632891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93A34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44F39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50D90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EA3849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second objective is to create a marketable software as a service (SAAS) application that utilizes the PrimeBook for compression, encryption, communication, and analysis of prime number data. This application will offer advanced features and services tailored to specific market segments, including cryptography, data analytics, and scientific research.</w:t>
            </w:r>
          </w:p>
        </w:tc>
        <w:tc>
          <w:tcPr>
            <w:tcW w:w="2566" w:type="dxa"/>
            <w:tcBorders>
              <w:top w:val="nil"/>
              <w:left w:val="nil"/>
              <w:bottom w:val="single" w:sz="4" w:space="0" w:color="auto"/>
              <w:right w:val="single" w:sz="4" w:space="0" w:color="auto"/>
            </w:tcBorders>
            <w:shd w:val="clear" w:color="auto" w:fill="auto"/>
            <w:hideMark/>
          </w:tcPr>
          <w:p w14:paraId="322175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8574F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2EAA4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C6917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C7228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leveraging the PrimeBook's computational capabilities, the SAAS application aims to address practical challenges in industries such as cybersecurity, finance, and healthcare, where prime numbers play a crucial role in secure communication, data protection, and algorithm optimization.</w:t>
            </w:r>
          </w:p>
        </w:tc>
        <w:tc>
          <w:tcPr>
            <w:tcW w:w="2566" w:type="dxa"/>
            <w:tcBorders>
              <w:top w:val="nil"/>
              <w:left w:val="nil"/>
              <w:bottom w:val="single" w:sz="4" w:space="0" w:color="auto"/>
              <w:right w:val="single" w:sz="4" w:space="0" w:color="auto"/>
            </w:tcBorders>
            <w:shd w:val="clear" w:color="auto" w:fill="auto"/>
            <w:hideMark/>
          </w:tcPr>
          <w:p w14:paraId="2C8453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25642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9E5933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4E146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708DE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E00A7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3ED83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78144C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3766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5A595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21A8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004DED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DF888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9D234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5F68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44682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4D886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5E6A86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D6D19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832FF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76E3E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9CF77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875A6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8D4E8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Objective 3: </w:t>
            </w:r>
          </w:p>
        </w:tc>
        <w:tc>
          <w:tcPr>
            <w:tcW w:w="6762" w:type="dxa"/>
            <w:tcBorders>
              <w:top w:val="nil"/>
              <w:left w:val="nil"/>
              <w:bottom w:val="single" w:sz="4" w:space="0" w:color="auto"/>
              <w:right w:val="single" w:sz="4" w:space="0" w:color="auto"/>
            </w:tcBorders>
            <w:shd w:val="clear" w:color="auto" w:fill="auto"/>
            <w:hideMark/>
          </w:tcPr>
          <w:p w14:paraId="2C0A907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Integration into Educational Markets:</w:t>
            </w:r>
          </w:p>
        </w:tc>
        <w:tc>
          <w:tcPr>
            <w:tcW w:w="2566" w:type="dxa"/>
            <w:tcBorders>
              <w:top w:val="nil"/>
              <w:left w:val="nil"/>
              <w:bottom w:val="single" w:sz="4" w:space="0" w:color="auto"/>
              <w:right w:val="single" w:sz="4" w:space="0" w:color="auto"/>
            </w:tcBorders>
            <w:shd w:val="clear" w:color="auto" w:fill="auto"/>
            <w:hideMark/>
          </w:tcPr>
          <w:p w14:paraId="2C5630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25E46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DCD27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7CD27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A21EE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third objective is to incorporate prime number research and exploration into educational markets, including schools, colleges, and online learning platforms. By developing educational materials, curriculum resources, and interactive tools, the project aims to promote understanding of prime numbers among students and educators and inspire the next generation of mathematicians and scientists.</w:t>
            </w:r>
          </w:p>
        </w:tc>
        <w:tc>
          <w:tcPr>
            <w:tcW w:w="2566" w:type="dxa"/>
            <w:tcBorders>
              <w:top w:val="nil"/>
              <w:left w:val="nil"/>
              <w:bottom w:val="single" w:sz="4" w:space="0" w:color="auto"/>
              <w:right w:val="single" w:sz="4" w:space="0" w:color="auto"/>
            </w:tcBorders>
            <w:shd w:val="clear" w:color="auto" w:fill="auto"/>
            <w:hideMark/>
          </w:tcPr>
          <w:p w14:paraId="6B8771C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7D015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6B7DA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48F1C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6F1D0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integrating prime number theory into educational curricula and extracurricular activities, the project aims to cultivate a culture of mathematical curiosity, critical thinking, and problem-solving skills among learners of all ages and backgrounds.</w:t>
            </w:r>
          </w:p>
        </w:tc>
        <w:tc>
          <w:tcPr>
            <w:tcW w:w="2566" w:type="dxa"/>
            <w:tcBorders>
              <w:top w:val="nil"/>
              <w:left w:val="nil"/>
              <w:bottom w:val="single" w:sz="4" w:space="0" w:color="auto"/>
              <w:right w:val="single" w:sz="4" w:space="0" w:color="auto"/>
            </w:tcBorders>
            <w:shd w:val="clear" w:color="auto" w:fill="auto"/>
            <w:hideMark/>
          </w:tcPr>
          <w:p w14:paraId="7CB8896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024BF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A8A8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492DE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71CE8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0DF1C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C5766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52944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3BB98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Objective 4: </w:t>
            </w:r>
          </w:p>
        </w:tc>
        <w:tc>
          <w:tcPr>
            <w:tcW w:w="6762" w:type="dxa"/>
            <w:tcBorders>
              <w:top w:val="nil"/>
              <w:left w:val="nil"/>
              <w:bottom w:val="single" w:sz="4" w:space="0" w:color="auto"/>
              <w:right w:val="single" w:sz="4" w:space="0" w:color="auto"/>
            </w:tcBorders>
            <w:shd w:val="clear" w:color="auto" w:fill="auto"/>
            <w:hideMark/>
          </w:tcPr>
          <w:p w14:paraId="6D49110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Penetration into Server Markets:</w:t>
            </w:r>
          </w:p>
        </w:tc>
        <w:tc>
          <w:tcPr>
            <w:tcW w:w="2566" w:type="dxa"/>
            <w:tcBorders>
              <w:top w:val="nil"/>
              <w:left w:val="nil"/>
              <w:bottom w:val="single" w:sz="4" w:space="0" w:color="auto"/>
              <w:right w:val="single" w:sz="4" w:space="0" w:color="auto"/>
            </w:tcBorders>
            <w:shd w:val="clear" w:color="auto" w:fill="auto"/>
            <w:hideMark/>
          </w:tcPr>
          <w:p w14:paraId="271E76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F5D6F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05B52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8B6F0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2F458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fourth objective is to penetrate server markets by offering specialized prime number solutions for high-performance computing, cloud computing, and data center infrastructure. By partnering with server manufacturers, cloud service providers, and enterprise clients, the project aims to integrate PrimeBook-enabled applications into server environments for enhanced computational efficiency and scalability.</w:t>
            </w:r>
          </w:p>
        </w:tc>
        <w:tc>
          <w:tcPr>
            <w:tcW w:w="2566" w:type="dxa"/>
            <w:tcBorders>
              <w:top w:val="nil"/>
              <w:left w:val="nil"/>
              <w:bottom w:val="single" w:sz="4" w:space="0" w:color="auto"/>
              <w:right w:val="single" w:sz="4" w:space="0" w:color="auto"/>
            </w:tcBorders>
            <w:shd w:val="clear" w:color="auto" w:fill="auto"/>
            <w:hideMark/>
          </w:tcPr>
          <w:p w14:paraId="7A8AE1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882E0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E45154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4D2FA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2B3AF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optimizing prime number algorithms for server architectures and workload distribution, the project aims to unlock new opportunities for prime number research, data analysis, and scientific simulations in server markets.</w:t>
            </w:r>
          </w:p>
        </w:tc>
        <w:tc>
          <w:tcPr>
            <w:tcW w:w="2566" w:type="dxa"/>
            <w:tcBorders>
              <w:top w:val="nil"/>
              <w:left w:val="nil"/>
              <w:bottom w:val="single" w:sz="4" w:space="0" w:color="auto"/>
              <w:right w:val="single" w:sz="4" w:space="0" w:color="auto"/>
            </w:tcBorders>
            <w:shd w:val="clear" w:color="auto" w:fill="auto"/>
            <w:hideMark/>
          </w:tcPr>
          <w:p w14:paraId="24811E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C092E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B5A0D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B6248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A4D1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3F395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590D0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0D0E8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7F2F5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Objective 5: </w:t>
            </w:r>
          </w:p>
        </w:tc>
        <w:tc>
          <w:tcPr>
            <w:tcW w:w="6762" w:type="dxa"/>
            <w:tcBorders>
              <w:top w:val="nil"/>
              <w:left w:val="nil"/>
              <w:bottom w:val="single" w:sz="4" w:space="0" w:color="auto"/>
              <w:right w:val="single" w:sz="4" w:space="0" w:color="auto"/>
            </w:tcBorders>
            <w:shd w:val="clear" w:color="auto" w:fill="auto"/>
            <w:hideMark/>
          </w:tcPr>
          <w:p w14:paraId="7F477E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Expansion into Daily Computing Markets:</w:t>
            </w:r>
          </w:p>
        </w:tc>
        <w:tc>
          <w:tcPr>
            <w:tcW w:w="2566" w:type="dxa"/>
            <w:tcBorders>
              <w:top w:val="nil"/>
              <w:left w:val="nil"/>
              <w:bottom w:val="single" w:sz="4" w:space="0" w:color="auto"/>
              <w:right w:val="single" w:sz="4" w:space="0" w:color="auto"/>
            </w:tcBorders>
            <w:shd w:val="clear" w:color="auto" w:fill="auto"/>
            <w:hideMark/>
          </w:tcPr>
          <w:p w14:paraId="74DA93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6749A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355D80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4D628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C8CE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fifth objective is to expand into daily computing markets by embedding PrimeBook-enabled applications into everyday computing devices, including laptops, desktops, smartphones, and IoT devices. By partnering with device manufacturers, software developers, and app stores, the project aims to reach a broader audience of users and integrate prime number functionality into mainstream computing platforms.</w:t>
            </w:r>
          </w:p>
        </w:tc>
        <w:tc>
          <w:tcPr>
            <w:tcW w:w="2566" w:type="dxa"/>
            <w:tcBorders>
              <w:top w:val="nil"/>
              <w:left w:val="nil"/>
              <w:bottom w:val="single" w:sz="4" w:space="0" w:color="auto"/>
              <w:right w:val="single" w:sz="4" w:space="0" w:color="auto"/>
            </w:tcBorders>
            <w:shd w:val="clear" w:color="auto" w:fill="auto"/>
            <w:hideMark/>
          </w:tcPr>
          <w:p w14:paraId="30A8A8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91587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28236F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82346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22565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making prime number research and applications accessible to everyday users, the project aims to raise awareness about the significance of prime numbers and promote their practical applications in everyday life, from secure communication and data privacy to computational efficiency and optimization.</w:t>
            </w:r>
          </w:p>
        </w:tc>
        <w:tc>
          <w:tcPr>
            <w:tcW w:w="2566" w:type="dxa"/>
            <w:tcBorders>
              <w:top w:val="nil"/>
              <w:left w:val="nil"/>
              <w:bottom w:val="single" w:sz="4" w:space="0" w:color="auto"/>
              <w:right w:val="single" w:sz="4" w:space="0" w:color="auto"/>
            </w:tcBorders>
            <w:shd w:val="clear" w:color="auto" w:fill="auto"/>
            <w:hideMark/>
          </w:tcPr>
          <w:p w14:paraId="3E5784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4BF95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8FBDE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8BAF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E7DD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82674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CC169F" w14:textId="77777777" w:rsidTr="0041317E">
        <w:trPr>
          <w:trHeight w:val="3432"/>
        </w:trPr>
        <w:tc>
          <w:tcPr>
            <w:tcW w:w="1349" w:type="dxa"/>
            <w:tcBorders>
              <w:top w:val="nil"/>
              <w:left w:val="single" w:sz="4" w:space="0" w:color="auto"/>
              <w:bottom w:val="single" w:sz="4" w:space="0" w:color="auto"/>
              <w:right w:val="single" w:sz="4" w:space="0" w:color="auto"/>
            </w:tcBorders>
            <w:shd w:val="clear" w:color="auto" w:fill="auto"/>
            <w:hideMark/>
          </w:tcPr>
          <w:p w14:paraId="6BA976B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3C2AD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2244445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specific objectives of the project aim to create a free networkable application for prime number discovery, develop marketable SAAS applications for prime number utilization, integrate prime number research into educational markets, penetrate server markets with specialized solutions, and expand into daily computing markets by embedding prime number functionality into everyday devices. Through strategic partnerships, targeted marketing efforts, and continuous innovation, the project aims to achieve measurable outcomes that contribute to advancing mathematical understanding, promoting accessibility to prime numbers, and facilitating practical applications in various industries and markets.</w:t>
            </w:r>
          </w:p>
        </w:tc>
        <w:tc>
          <w:tcPr>
            <w:tcW w:w="2566" w:type="dxa"/>
            <w:tcBorders>
              <w:top w:val="nil"/>
              <w:left w:val="nil"/>
              <w:bottom w:val="single" w:sz="4" w:space="0" w:color="auto"/>
              <w:right w:val="single" w:sz="4" w:space="0" w:color="auto"/>
            </w:tcBorders>
            <w:shd w:val="clear" w:color="auto" w:fill="auto"/>
            <w:hideMark/>
          </w:tcPr>
          <w:p w14:paraId="2FFF57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B63E5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D8CC5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74388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A9078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C91BA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EA5777" w14:textId="77777777" w:rsidTr="0041317E">
        <w:trPr>
          <w:trHeight w:val="2880"/>
        </w:trPr>
        <w:tc>
          <w:tcPr>
            <w:tcW w:w="1349" w:type="dxa"/>
            <w:tcBorders>
              <w:top w:val="nil"/>
              <w:left w:val="single" w:sz="4" w:space="0" w:color="auto"/>
              <w:bottom w:val="single" w:sz="4" w:space="0" w:color="auto"/>
              <w:right w:val="single" w:sz="4" w:space="0" w:color="auto"/>
            </w:tcBorders>
            <w:shd w:val="clear" w:color="auto" w:fill="auto"/>
            <w:hideMark/>
          </w:tcPr>
          <w:p w14:paraId="5381E99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39EC28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Milestones: </w:t>
            </w:r>
          </w:p>
        </w:tc>
        <w:tc>
          <w:tcPr>
            <w:tcW w:w="6762" w:type="dxa"/>
            <w:tcBorders>
              <w:top w:val="nil"/>
              <w:left w:val="nil"/>
              <w:bottom w:val="single" w:sz="4" w:space="0" w:color="auto"/>
              <w:right w:val="single" w:sz="4" w:space="0" w:color="auto"/>
            </w:tcBorders>
            <w:shd w:val="clear" w:color="auto" w:fill="auto"/>
            <w:hideMark/>
          </w:tcPr>
          <w:p w14:paraId="33E5B7C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Define key milestones that mark significant progress towards achieving the project objectives. These milestones serve as checkpoints to track the project's progress and provide tangible markers of success for potential funders.</w:t>
            </w:r>
          </w:p>
        </w:tc>
        <w:tc>
          <w:tcPr>
            <w:tcW w:w="2566" w:type="dxa"/>
            <w:tcBorders>
              <w:top w:val="nil"/>
              <w:left w:val="nil"/>
              <w:bottom w:val="single" w:sz="4" w:space="0" w:color="auto"/>
              <w:right w:val="single" w:sz="4" w:space="0" w:color="auto"/>
            </w:tcBorders>
            <w:shd w:val="clear" w:color="auto" w:fill="auto"/>
            <w:hideMark/>
          </w:tcPr>
          <w:p w14:paraId="0EC84A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xml:space="preserve">Current C++ Programming Milestones Are: Compress the PrimeBook Beyond 7BillionPrimes per 32Ram : Release Network Cluster Version of PrimeBook Gear : Create User Find Exchange Certificate System : User work distributed among multiple devices : </w:t>
            </w:r>
          </w:p>
        </w:tc>
      </w:tr>
      <w:tr w:rsidR="0041317E" w:rsidRPr="0041317E" w14:paraId="046CA3F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D2A44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93AFC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CB631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Key milestones are crucial checkpoints that mark significant progress towards achieving the project objectives. These milestones serve as tangible markers of success and help track the project's progress. Here's an in-depth exploration of the defined milestones:</w:t>
            </w:r>
          </w:p>
        </w:tc>
        <w:tc>
          <w:tcPr>
            <w:tcW w:w="2566" w:type="dxa"/>
            <w:tcBorders>
              <w:top w:val="nil"/>
              <w:left w:val="nil"/>
              <w:bottom w:val="single" w:sz="4" w:space="0" w:color="auto"/>
              <w:right w:val="single" w:sz="4" w:space="0" w:color="auto"/>
            </w:tcBorders>
            <w:shd w:val="clear" w:color="auto" w:fill="auto"/>
            <w:hideMark/>
          </w:tcPr>
          <w:p w14:paraId="62A58F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90D47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6DAD2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C9A8C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Milestone 1: </w:t>
            </w:r>
          </w:p>
        </w:tc>
        <w:tc>
          <w:tcPr>
            <w:tcW w:w="6762" w:type="dxa"/>
            <w:tcBorders>
              <w:top w:val="nil"/>
              <w:left w:val="nil"/>
              <w:bottom w:val="single" w:sz="4" w:space="0" w:color="auto"/>
              <w:right w:val="single" w:sz="4" w:space="0" w:color="auto"/>
            </w:tcBorders>
            <w:shd w:val="clear" w:color="auto" w:fill="auto"/>
            <w:hideMark/>
          </w:tcPr>
          <w:p w14:paraId="0A5CA9F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Compress the PrimeBook Beyond 7 Billion Primes per 32GB RAM:</w:t>
            </w:r>
          </w:p>
        </w:tc>
        <w:tc>
          <w:tcPr>
            <w:tcW w:w="2566" w:type="dxa"/>
            <w:tcBorders>
              <w:top w:val="nil"/>
              <w:left w:val="nil"/>
              <w:bottom w:val="single" w:sz="4" w:space="0" w:color="auto"/>
              <w:right w:val="single" w:sz="4" w:space="0" w:color="auto"/>
            </w:tcBorders>
            <w:shd w:val="clear" w:color="auto" w:fill="auto"/>
            <w:hideMark/>
          </w:tcPr>
          <w:p w14:paraId="1FF05F9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CD94A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632B4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4AA2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40253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first milestone entails developing advanced compression algorithms to compress the PrimeBook database beyond 7 billion primes per 32GB RAM. This achievement will significantly increase the efficiency and scalability of prime number storage, enabling researchers and enthusiasts to access larger prime number datasets on standard computing devices.</w:t>
            </w:r>
          </w:p>
        </w:tc>
        <w:tc>
          <w:tcPr>
            <w:tcW w:w="2566" w:type="dxa"/>
            <w:tcBorders>
              <w:top w:val="nil"/>
              <w:left w:val="nil"/>
              <w:bottom w:val="single" w:sz="4" w:space="0" w:color="auto"/>
              <w:right w:val="single" w:sz="4" w:space="0" w:color="auto"/>
            </w:tcBorders>
            <w:shd w:val="clear" w:color="auto" w:fill="auto"/>
            <w:hideMark/>
          </w:tcPr>
          <w:p w14:paraId="4BE02A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9F7C8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6CCA94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87D8B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9109E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optimizing compression techniques and leveraging parallel processing capabilities, the project aims to overcome memory limitations and enhance the accessibility of prime number data for computational analysis and research purposes. Achieving this milestone demonstrates the project's commitment to innovation and technical excellence in prime number theory and data management.</w:t>
            </w:r>
          </w:p>
        </w:tc>
        <w:tc>
          <w:tcPr>
            <w:tcW w:w="2566" w:type="dxa"/>
            <w:tcBorders>
              <w:top w:val="nil"/>
              <w:left w:val="nil"/>
              <w:bottom w:val="single" w:sz="4" w:space="0" w:color="auto"/>
              <w:right w:val="single" w:sz="4" w:space="0" w:color="auto"/>
            </w:tcBorders>
            <w:shd w:val="clear" w:color="auto" w:fill="auto"/>
            <w:hideMark/>
          </w:tcPr>
          <w:p w14:paraId="793558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CE60A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7799B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3CBCF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Milestone 2: </w:t>
            </w:r>
          </w:p>
        </w:tc>
        <w:tc>
          <w:tcPr>
            <w:tcW w:w="6762" w:type="dxa"/>
            <w:tcBorders>
              <w:top w:val="nil"/>
              <w:left w:val="nil"/>
              <w:bottom w:val="single" w:sz="4" w:space="0" w:color="auto"/>
              <w:right w:val="single" w:sz="4" w:space="0" w:color="auto"/>
            </w:tcBorders>
            <w:shd w:val="clear" w:color="auto" w:fill="auto"/>
            <w:hideMark/>
          </w:tcPr>
          <w:p w14:paraId="482A721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Release Network Cluster Version of PrimeBook Gear:</w:t>
            </w:r>
          </w:p>
        </w:tc>
        <w:tc>
          <w:tcPr>
            <w:tcW w:w="2566" w:type="dxa"/>
            <w:tcBorders>
              <w:top w:val="nil"/>
              <w:left w:val="nil"/>
              <w:bottom w:val="single" w:sz="4" w:space="0" w:color="auto"/>
              <w:right w:val="single" w:sz="4" w:space="0" w:color="auto"/>
            </w:tcBorders>
            <w:shd w:val="clear" w:color="auto" w:fill="auto"/>
            <w:hideMark/>
          </w:tcPr>
          <w:p w14:paraId="1F681A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7F81F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35F5F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E85A1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D4A69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second milestone involves releasing a network cluster version of PrimeBook Gear, enabling users to deploy distributed computing resources for prime number discovery and analysis. This network cluster version will allow users to harness the collective computational power of multiple devices, including home computers, servers, and quantum computers, to accelerate prime number research and exploration.</w:t>
            </w:r>
          </w:p>
        </w:tc>
        <w:tc>
          <w:tcPr>
            <w:tcW w:w="2566" w:type="dxa"/>
            <w:tcBorders>
              <w:top w:val="nil"/>
              <w:left w:val="nil"/>
              <w:bottom w:val="single" w:sz="4" w:space="0" w:color="auto"/>
              <w:right w:val="single" w:sz="4" w:space="0" w:color="auto"/>
            </w:tcBorders>
            <w:shd w:val="clear" w:color="auto" w:fill="auto"/>
            <w:hideMark/>
          </w:tcPr>
          <w:p w14:paraId="51084D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45E968"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4A905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467D2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23C7BA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facilitating collaboration and resource sharing among users, the network cluster version of PrimeBook Gear aims to foster a community-driven approach to prime number discovery, where participants can contribute their computational resources to solve complex prime number problems collaboratively. Achieving this milestone signifies the project's commitment to democratizing prime number research and promoting open collaboration in the mathematics community.</w:t>
            </w:r>
          </w:p>
        </w:tc>
        <w:tc>
          <w:tcPr>
            <w:tcW w:w="2566" w:type="dxa"/>
            <w:tcBorders>
              <w:top w:val="nil"/>
              <w:left w:val="nil"/>
              <w:bottom w:val="single" w:sz="4" w:space="0" w:color="auto"/>
              <w:right w:val="single" w:sz="4" w:space="0" w:color="auto"/>
            </w:tcBorders>
            <w:shd w:val="clear" w:color="auto" w:fill="auto"/>
            <w:hideMark/>
          </w:tcPr>
          <w:p w14:paraId="256106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D39DC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317F08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7267C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Milestone 3: </w:t>
            </w:r>
          </w:p>
        </w:tc>
        <w:tc>
          <w:tcPr>
            <w:tcW w:w="6762" w:type="dxa"/>
            <w:tcBorders>
              <w:top w:val="nil"/>
              <w:left w:val="nil"/>
              <w:bottom w:val="single" w:sz="4" w:space="0" w:color="auto"/>
              <w:right w:val="single" w:sz="4" w:space="0" w:color="auto"/>
            </w:tcBorders>
            <w:shd w:val="clear" w:color="auto" w:fill="auto"/>
            <w:hideMark/>
          </w:tcPr>
          <w:p w14:paraId="7803C16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User Find Exchange Certificate System:</w:t>
            </w:r>
          </w:p>
        </w:tc>
        <w:tc>
          <w:tcPr>
            <w:tcW w:w="2566" w:type="dxa"/>
            <w:tcBorders>
              <w:top w:val="nil"/>
              <w:left w:val="nil"/>
              <w:bottom w:val="single" w:sz="4" w:space="0" w:color="auto"/>
              <w:right w:val="single" w:sz="4" w:space="0" w:color="auto"/>
            </w:tcBorders>
            <w:shd w:val="clear" w:color="auto" w:fill="auto"/>
            <w:hideMark/>
          </w:tcPr>
          <w:p w14:paraId="431FD8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2956F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C5997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04451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DBFAE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third milestone entails creating a user find exchange certificate system to validate and recognize prime number discoveries contributed by users to the PrimeBook database. This certificate system will provide users with official recognition for their contributions to prime number research and encourage active participation in prime number discovery efforts.</w:t>
            </w:r>
          </w:p>
        </w:tc>
        <w:tc>
          <w:tcPr>
            <w:tcW w:w="2566" w:type="dxa"/>
            <w:tcBorders>
              <w:top w:val="nil"/>
              <w:left w:val="nil"/>
              <w:bottom w:val="single" w:sz="4" w:space="0" w:color="auto"/>
              <w:right w:val="single" w:sz="4" w:space="0" w:color="auto"/>
            </w:tcBorders>
            <w:shd w:val="clear" w:color="auto" w:fill="auto"/>
            <w:hideMark/>
          </w:tcPr>
          <w:p w14:paraId="5C35E8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99038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BFA986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B56A4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BA1A5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a transparent and verifiable certification process, the project aims to incentivize user engagement and promote a culture of trust and accountability within the prime number research community. Achieving this milestone demonstrates the project's commitment to recognizing and rewarding user contributions to scientific knowledge and data integrity.</w:t>
            </w:r>
          </w:p>
        </w:tc>
        <w:tc>
          <w:tcPr>
            <w:tcW w:w="2566" w:type="dxa"/>
            <w:tcBorders>
              <w:top w:val="nil"/>
              <w:left w:val="nil"/>
              <w:bottom w:val="single" w:sz="4" w:space="0" w:color="auto"/>
              <w:right w:val="single" w:sz="4" w:space="0" w:color="auto"/>
            </w:tcBorders>
            <w:shd w:val="clear" w:color="auto" w:fill="auto"/>
            <w:hideMark/>
          </w:tcPr>
          <w:p w14:paraId="4F91C7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DFEB2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728873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D72B0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Milestone 4: </w:t>
            </w:r>
          </w:p>
        </w:tc>
        <w:tc>
          <w:tcPr>
            <w:tcW w:w="6762" w:type="dxa"/>
            <w:tcBorders>
              <w:top w:val="nil"/>
              <w:left w:val="nil"/>
              <w:bottom w:val="single" w:sz="4" w:space="0" w:color="auto"/>
              <w:right w:val="single" w:sz="4" w:space="0" w:color="auto"/>
            </w:tcBorders>
            <w:shd w:val="clear" w:color="auto" w:fill="auto"/>
            <w:hideMark/>
          </w:tcPr>
          <w:p w14:paraId="019AAFA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Enable User Work Distributed Among Multiple Devices:</w:t>
            </w:r>
          </w:p>
        </w:tc>
        <w:tc>
          <w:tcPr>
            <w:tcW w:w="2566" w:type="dxa"/>
            <w:tcBorders>
              <w:top w:val="nil"/>
              <w:left w:val="nil"/>
              <w:bottom w:val="single" w:sz="4" w:space="0" w:color="auto"/>
              <w:right w:val="single" w:sz="4" w:space="0" w:color="auto"/>
            </w:tcBorders>
            <w:shd w:val="clear" w:color="auto" w:fill="auto"/>
            <w:hideMark/>
          </w:tcPr>
          <w:p w14:paraId="265109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E3AD3D"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624D246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7959F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7D4E3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fourth milestone involves enabling user work to be distributed among multiple devices, allowing users to seamlessly transition between different computing environments while contributing to prime number research and analysis. This feature will enhance the flexibility and accessibility of PrimeBook-enabled applications, empowering users to maximize their computational resources and optimize their prime number discovery efforts.</w:t>
            </w:r>
          </w:p>
        </w:tc>
        <w:tc>
          <w:tcPr>
            <w:tcW w:w="2566" w:type="dxa"/>
            <w:tcBorders>
              <w:top w:val="nil"/>
              <w:left w:val="nil"/>
              <w:bottom w:val="single" w:sz="4" w:space="0" w:color="auto"/>
              <w:right w:val="single" w:sz="4" w:space="0" w:color="auto"/>
            </w:tcBorders>
            <w:shd w:val="clear" w:color="auto" w:fill="auto"/>
            <w:hideMark/>
          </w:tcPr>
          <w:p w14:paraId="282E8C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CEE4E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579C3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402EF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55BED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cross-platform compatibility and synchronization mechanisms, the project aims to streamline user workflows and facilitate seamless data exchange between devices. Achieving this milestone signifies the project's commitment to enhancing user experience and usability in prime number research and exploration.</w:t>
            </w:r>
          </w:p>
        </w:tc>
        <w:tc>
          <w:tcPr>
            <w:tcW w:w="2566" w:type="dxa"/>
            <w:tcBorders>
              <w:top w:val="nil"/>
              <w:left w:val="nil"/>
              <w:bottom w:val="single" w:sz="4" w:space="0" w:color="auto"/>
              <w:right w:val="single" w:sz="4" w:space="0" w:color="auto"/>
            </w:tcBorders>
            <w:shd w:val="clear" w:color="auto" w:fill="auto"/>
            <w:hideMark/>
          </w:tcPr>
          <w:p w14:paraId="4C8768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750C0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930BD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EE1E5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130DE6D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5E73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2BFA09" w14:textId="77777777" w:rsidTr="0041317E">
        <w:trPr>
          <w:trHeight w:val="2808"/>
        </w:trPr>
        <w:tc>
          <w:tcPr>
            <w:tcW w:w="1349" w:type="dxa"/>
            <w:tcBorders>
              <w:top w:val="nil"/>
              <w:left w:val="single" w:sz="4" w:space="0" w:color="auto"/>
              <w:bottom w:val="single" w:sz="4" w:space="0" w:color="auto"/>
              <w:right w:val="single" w:sz="4" w:space="0" w:color="auto"/>
            </w:tcBorders>
            <w:shd w:val="clear" w:color="auto" w:fill="auto"/>
            <w:hideMark/>
          </w:tcPr>
          <w:p w14:paraId="2E5AD5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C396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81D67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defined milestones represent key checkpoints that mark significant progress towards achieving the project objectives. By compressing the PrimeBook database, releasing a network cluster version of PrimeBook Gear, implementing a user find exchange certificate system, and enabling user work distributed among multiple devices, the project aims to advance mathematical understanding, promote user engagement, and facilitate collaborative research in prime number theory and data analysis. These milestones serve as tangible markers of success and provide potential funders with confidence in the project's feasibility and impact.</w:t>
            </w:r>
          </w:p>
        </w:tc>
        <w:tc>
          <w:tcPr>
            <w:tcW w:w="2566" w:type="dxa"/>
            <w:tcBorders>
              <w:top w:val="nil"/>
              <w:left w:val="nil"/>
              <w:bottom w:val="single" w:sz="4" w:space="0" w:color="auto"/>
              <w:right w:val="single" w:sz="4" w:space="0" w:color="auto"/>
            </w:tcBorders>
            <w:shd w:val="clear" w:color="auto" w:fill="auto"/>
            <w:hideMark/>
          </w:tcPr>
          <w:p w14:paraId="270D81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27790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E23FC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91A41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516CC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1C63D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25617F" w14:textId="77777777" w:rsidTr="0041317E">
        <w:trPr>
          <w:trHeight w:val="2592"/>
        </w:trPr>
        <w:tc>
          <w:tcPr>
            <w:tcW w:w="1349" w:type="dxa"/>
            <w:tcBorders>
              <w:top w:val="nil"/>
              <w:left w:val="single" w:sz="4" w:space="0" w:color="auto"/>
              <w:bottom w:val="single" w:sz="4" w:space="0" w:color="auto"/>
              <w:right w:val="single" w:sz="4" w:space="0" w:color="auto"/>
            </w:tcBorders>
            <w:shd w:val="clear" w:color="auto" w:fill="auto"/>
            <w:hideMark/>
          </w:tcPr>
          <w:p w14:paraId="5E5A68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4D79CCC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Research Activities: </w:t>
            </w:r>
          </w:p>
        </w:tc>
        <w:tc>
          <w:tcPr>
            <w:tcW w:w="6762" w:type="dxa"/>
            <w:tcBorders>
              <w:top w:val="nil"/>
              <w:left w:val="nil"/>
              <w:bottom w:val="single" w:sz="4" w:space="0" w:color="auto"/>
              <w:right w:val="single" w:sz="4" w:space="0" w:color="auto"/>
            </w:tcBorders>
            <w:shd w:val="clear" w:color="auto" w:fill="auto"/>
            <w:hideMark/>
          </w:tcPr>
          <w:p w14:paraId="54B1001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Outline the research activities and methodologies that will be employed to achieve the project objectives. This may include theoretical analysis, computational simulations, algorithm development, data collection, experimentation, or collaboration with other researchers.</w:t>
            </w:r>
          </w:p>
        </w:tc>
        <w:tc>
          <w:tcPr>
            <w:tcW w:w="2566" w:type="dxa"/>
            <w:tcBorders>
              <w:top w:val="nil"/>
              <w:left w:val="nil"/>
              <w:bottom w:val="single" w:sz="4" w:space="0" w:color="auto"/>
              <w:right w:val="single" w:sz="4" w:space="0" w:color="auto"/>
            </w:tcBorders>
            <w:shd w:val="clear" w:color="auto" w:fill="auto"/>
            <w:hideMark/>
          </w:tcPr>
          <w:p w14:paraId="255CAB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Using qualitative and quantitative methods to run all research avenues.  Evaluating the computational and memory needs to utilize all the tool features as measured through the lens of primes and pi calculatories.</w:t>
            </w:r>
          </w:p>
        </w:tc>
      </w:tr>
      <w:tr w:rsidR="0041317E" w:rsidRPr="0041317E" w14:paraId="5568EDA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81A36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B8256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37F240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Research activities are critical components of achieving the project objectives. These activities encompass various methodologies and approaches aimed at advancing mathematical understanding and practical applications of prime numbers. Here's an in-depth exploration of the outlined research activities and methodologies:</w:t>
            </w:r>
          </w:p>
        </w:tc>
        <w:tc>
          <w:tcPr>
            <w:tcW w:w="2566" w:type="dxa"/>
            <w:tcBorders>
              <w:top w:val="nil"/>
              <w:left w:val="nil"/>
              <w:bottom w:val="single" w:sz="4" w:space="0" w:color="auto"/>
              <w:right w:val="single" w:sz="4" w:space="0" w:color="auto"/>
            </w:tcBorders>
            <w:shd w:val="clear" w:color="auto" w:fill="auto"/>
            <w:hideMark/>
          </w:tcPr>
          <w:p w14:paraId="1F95EB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4BDC2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721C2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ADC62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Qualitative and Quantitative Methods:</w:t>
            </w:r>
          </w:p>
        </w:tc>
        <w:tc>
          <w:tcPr>
            <w:tcW w:w="6762" w:type="dxa"/>
            <w:tcBorders>
              <w:top w:val="nil"/>
              <w:left w:val="nil"/>
              <w:bottom w:val="single" w:sz="4" w:space="0" w:color="auto"/>
              <w:right w:val="single" w:sz="4" w:space="0" w:color="auto"/>
            </w:tcBorders>
            <w:shd w:val="clear" w:color="auto" w:fill="auto"/>
            <w:hideMark/>
          </w:tcPr>
          <w:p w14:paraId="2697876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E3368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C01D1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A4A930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F71D8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33AC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research will employ a combination of qualitative and quantitative methods to investigate prime number theory, algorithm development, and practical applications. Qualitative analysis involves exploring the theoretical underpinnings of prime number theory, examining historical developments, and identifying patterns and structures within prime number sequences.</w:t>
            </w:r>
          </w:p>
        </w:tc>
        <w:tc>
          <w:tcPr>
            <w:tcW w:w="2566" w:type="dxa"/>
            <w:tcBorders>
              <w:top w:val="nil"/>
              <w:left w:val="nil"/>
              <w:bottom w:val="single" w:sz="4" w:space="0" w:color="auto"/>
              <w:right w:val="single" w:sz="4" w:space="0" w:color="auto"/>
            </w:tcBorders>
            <w:shd w:val="clear" w:color="auto" w:fill="auto"/>
            <w:hideMark/>
          </w:tcPr>
          <w:p w14:paraId="717D58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C733B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52914B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0D433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BD97E4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Quantitative analysis involves conducting computational simulations, algorithmic optimizations, and empirical testing to evaluate the performance and efficiency of prime number algorithms, data structures, and applications. By integrating qualitative insights with quantitative data, the research aims to provide a comprehensive understanding of prime number phenomena and their practical implications.</w:t>
            </w:r>
          </w:p>
        </w:tc>
        <w:tc>
          <w:tcPr>
            <w:tcW w:w="2566" w:type="dxa"/>
            <w:tcBorders>
              <w:top w:val="nil"/>
              <w:left w:val="nil"/>
              <w:bottom w:val="single" w:sz="4" w:space="0" w:color="auto"/>
              <w:right w:val="single" w:sz="4" w:space="0" w:color="auto"/>
            </w:tcBorders>
            <w:shd w:val="clear" w:color="auto" w:fill="auto"/>
            <w:hideMark/>
          </w:tcPr>
          <w:p w14:paraId="11CE8B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2859C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41764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6BA9E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Evaluation of Computational and Memory Needs:</w:t>
            </w:r>
          </w:p>
        </w:tc>
        <w:tc>
          <w:tcPr>
            <w:tcW w:w="6762" w:type="dxa"/>
            <w:tcBorders>
              <w:top w:val="nil"/>
              <w:left w:val="nil"/>
              <w:bottom w:val="single" w:sz="4" w:space="0" w:color="auto"/>
              <w:right w:val="single" w:sz="4" w:space="0" w:color="auto"/>
            </w:tcBorders>
            <w:shd w:val="clear" w:color="auto" w:fill="auto"/>
            <w:hideMark/>
          </w:tcPr>
          <w:p w14:paraId="6D61F7A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266C1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E8D3D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60847D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B8A6D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4E59F0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One of the primary research activities is to evaluate the computational and memory needs required to utilize all the tool features provided by PrimeBook and related applications. This evaluation will involve analyzing the computational complexity of prime number algorithms, memory requirements for storing prime number datasets, and processing efficiency for various computational tasks.</w:t>
            </w:r>
          </w:p>
        </w:tc>
        <w:tc>
          <w:tcPr>
            <w:tcW w:w="2566" w:type="dxa"/>
            <w:tcBorders>
              <w:top w:val="nil"/>
              <w:left w:val="nil"/>
              <w:bottom w:val="single" w:sz="4" w:space="0" w:color="auto"/>
              <w:right w:val="single" w:sz="4" w:space="0" w:color="auto"/>
            </w:tcBorders>
            <w:shd w:val="clear" w:color="auto" w:fill="auto"/>
            <w:hideMark/>
          </w:tcPr>
          <w:p w14:paraId="5812EB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EB7B8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712F6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765DF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FF8F4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measuring computational performance and memory utilization through the lens of prime numbers and pi calculations, the research aims to identify optimal strategies for algorithm development, resource allocation, and system optimization. This evaluation will inform the design and implementation of PrimeBook-enabled applications and ensure compatibility with diverse computing environments.</w:t>
            </w:r>
          </w:p>
        </w:tc>
        <w:tc>
          <w:tcPr>
            <w:tcW w:w="2566" w:type="dxa"/>
            <w:tcBorders>
              <w:top w:val="nil"/>
              <w:left w:val="nil"/>
              <w:bottom w:val="single" w:sz="4" w:space="0" w:color="auto"/>
              <w:right w:val="single" w:sz="4" w:space="0" w:color="auto"/>
            </w:tcBorders>
            <w:shd w:val="clear" w:color="auto" w:fill="auto"/>
            <w:hideMark/>
          </w:tcPr>
          <w:p w14:paraId="672808E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6589C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EE28D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A2325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Theoretical Analysis and Algorithm Development:</w:t>
            </w:r>
          </w:p>
        </w:tc>
        <w:tc>
          <w:tcPr>
            <w:tcW w:w="6762" w:type="dxa"/>
            <w:tcBorders>
              <w:top w:val="nil"/>
              <w:left w:val="nil"/>
              <w:bottom w:val="single" w:sz="4" w:space="0" w:color="auto"/>
              <w:right w:val="single" w:sz="4" w:space="0" w:color="auto"/>
            </w:tcBorders>
            <w:shd w:val="clear" w:color="auto" w:fill="auto"/>
            <w:hideMark/>
          </w:tcPr>
          <w:p w14:paraId="4572638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0616B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CC968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66287C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00C9B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486B0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research will involve theoretical analysis of prime number theory, including the distribution, properties, and patterns of prime numbers. This analysis will inform the development of new algorithms, data structures, and computational techniques for prime number discovery, factorization, and analysis.</w:t>
            </w:r>
          </w:p>
        </w:tc>
        <w:tc>
          <w:tcPr>
            <w:tcW w:w="2566" w:type="dxa"/>
            <w:tcBorders>
              <w:top w:val="nil"/>
              <w:left w:val="nil"/>
              <w:bottom w:val="single" w:sz="4" w:space="0" w:color="auto"/>
              <w:right w:val="single" w:sz="4" w:space="0" w:color="auto"/>
            </w:tcBorders>
            <w:shd w:val="clear" w:color="auto" w:fill="auto"/>
            <w:hideMark/>
          </w:tcPr>
          <w:p w14:paraId="5F3F69D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F607A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9B88E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42275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CED210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Algorithm development activities will focus on optimizing existing prime number algorithms and developing novel approaches to address specific research challenges, such as large-scale prime number generation, cryptographic key generation, and data compression. By leveraging mathematical insights and computational techniques, the research aims to advance the state-of-the-art in prime number research and application.</w:t>
            </w:r>
          </w:p>
        </w:tc>
        <w:tc>
          <w:tcPr>
            <w:tcW w:w="2566" w:type="dxa"/>
            <w:tcBorders>
              <w:top w:val="nil"/>
              <w:left w:val="nil"/>
              <w:bottom w:val="single" w:sz="4" w:space="0" w:color="auto"/>
              <w:right w:val="single" w:sz="4" w:space="0" w:color="auto"/>
            </w:tcBorders>
            <w:shd w:val="clear" w:color="auto" w:fill="auto"/>
            <w:hideMark/>
          </w:tcPr>
          <w:p w14:paraId="001A03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ABF13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990CAF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C7558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Data Collection and Experimentation:</w:t>
            </w:r>
          </w:p>
        </w:tc>
        <w:tc>
          <w:tcPr>
            <w:tcW w:w="6762" w:type="dxa"/>
            <w:tcBorders>
              <w:top w:val="nil"/>
              <w:left w:val="nil"/>
              <w:bottom w:val="single" w:sz="4" w:space="0" w:color="auto"/>
              <w:right w:val="single" w:sz="4" w:space="0" w:color="auto"/>
            </w:tcBorders>
            <w:shd w:val="clear" w:color="auto" w:fill="auto"/>
            <w:hideMark/>
          </w:tcPr>
          <w:p w14:paraId="7428517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9CB0C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D515A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8513C2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7D32A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0C268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Data collection activities will involve gathering and curating prime number datasets from various sources, including public repositories, research publications, and computational experiments. These datasets will serve as valuable resources for empirical analysis, algorithm validation, and benchmarking of prime number algorithms and applications.</w:t>
            </w:r>
          </w:p>
        </w:tc>
        <w:tc>
          <w:tcPr>
            <w:tcW w:w="2566" w:type="dxa"/>
            <w:tcBorders>
              <w:top w:val="nil"/>
              <w:left w:val="nil"/>
              <w:bottom w:val="single" w:sz="4" w:space="0" w:color="auto"/>
              <w:right w:val="single" w:sz="4" w:space="0" w:color="auto"/>
            </w:tcBorders>
            <w:shd w:val="clear" w:color="auto" w:fill="auto"/>
            <w:hideMark/>
          </w:tcPr>
          <w:p w14:paraId="4A2DD8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0C6286"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8ACB2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4BF53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0A245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Experimentation activities will involve conducting computational simulations, performance benchmarks, and validation tests to evaluate the effectiveness and efficiency of prime number algorithms and applications. By systematically testing hypotheses and verifying results through experimentation, the research aims to validate theoretical predictions and practical implementations in prime number research and application.</w:t>
            </w:r>
          </w:p>
        </w:tc>
        <w:tc>
          <w:tcPr>
            <w:tcW w:w="2566" w:type="dxa"/>
            <w:tcBorders>
              <w:top w:val="nil"/>
              <w:left w:val="nil"/>
              <w:bottom w:val="single" w:sz="4" w:space="0" w:color="auto"/>
              <w:right w:val="single" w:sz="4" w:space="0" w:color="auto"/>
            </w:tcBorders>
            <w:shd w:val="clear" w:color="auto" w:fill="auto"/>
            <w:hideMark/>
          </w:tcPr>
          <w:p w14:paraId="5D2087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B4EC8D" w14:textId="77777777" w:rsidTr="0041317E">
        <w:trPr>
          <w:trHeight w:val="360"/>
        </w:trPr>
        <w:tc>
          <w:tcPr>
            <w:tcW w:w="1349" w:type="dxa"/>
            <w:tcBorders>
              <w:top w:val="nil"/>
              <w:left w:val="single" w:sz="4" w:space="0" w:color="auto"/>
              <w:bottom w:val="single" w:sz="4" w:space="0" w:color="auto"/>
              <w:right w:val="single" w:sz="4" w:space="0" w:color="auto"/>
            </w:tcBorders>
            <w:shd w:val="clear" w:color="auto" w:fill="auto"/>
            <w:hideMark/>
          </w:tcPr>
          <w:p w14:paraId="2A2C82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86F3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Collaboration with Other Researchers:</w:t>
            </w:r>
          </w:p>
        </w:tc>
        <w:tc>
          <w:tcPr>
            <w:tcW w:w="6762" w:type="dxa"/>
            <w:tcBorders>
              <w:top w:val="nil"/>
              <w:left w:val="nil"/>
              <w:bottom w:val="single" w:sz="4" w:space="0" w:color="auto"/>
              <w:right w:val="single" w:sz="4" w:space="0" w:color="auto"/>
            </w:tcBorders>
            <w:shd w:val="clear" w:color="auto" w:fill="auto"/>
            <w:hideMark/>
          </w:tcPr>
          <w:p w14:paraId="3C295BB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9AFDCC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8C44B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9E38A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38DF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F453E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Collaboration with other researchers, mathematicians, and domain experts will be integral to the research activities. By fostering interdisciplinary collaboration and knowledge exchange, the research aims to leverage diverse expertise and perspectives to tackle complex prime number problems and address practical challenges in prime number theory and application.</w:t>
            </w:r>
          </w:p>
        </w:tc>
        <w:tc>
          <w:tcPr>
            <w:tcW w:w="2566" w:type="dxa"/>
            <w:tcBorders>
              <w:top w:val="nil"/>
              <w:left w:val="nil"/>
              <w:bottom w:val="single" w:sz="4" w:space="0" w:color="auto"/>
              <w:right w:val="single" w:sz="4" w:space="0" w:color="auto"/>
            </w:tcBorders>
            <w:shd w:val="clear" w:color="auto" w:fill="auto"/>
            <w:hideMark/>
          </w:tcPr>
          <w:p w14:paraId="6944A5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64C6B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535A1D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8F4C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6E84C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Collaborative research efforts may involve joint publications, conference presentations, and collaborative projects aimed at advancing prime number research and promoting open collaboration within the mathematics community. By working together with other researchers, the project aims to accelerate progress in prime number research and achieve impactful outcomes that benefit society, science, and technology.</w:t>
            </w:r>
          </w:p>
        </w:tc>
        <w:tc>
          <w:tcPr>
            <w:tcW w:w="2566" w:type="dxa"/>
            <w:tcBorders>
              <w:top w:val="nil"/>
              <w:left w:val="nil"/>
              <w:bottom w:val="single" w:sz="4" w:space="0" w:color="auto"/>
              <w:right w:val="single" w:sz="4" w:space="0" w:color="auto"/>
            </w:tcBorders>
            <w:shd w:val="clear" w:color="auto" w:fill="auto"/>
            <w:hideMark/>
          </w:tcPr>
          <w:p w14:paraId="2BE8B4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7135B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A284DB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3A73A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6872643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77A85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575250" w14:textId="77777777" w:rsidTr="0041317E">
        <w:trPr>
          <w:trHeight w:val="3432"/>
        </w:trPr>
        <w:tc>
          <w:tcPr>
            <w:tcW w:w="1349" w:type="dxa"/>
            <w:tcBorders>
              <w:top w:val="nil"/>
              <w:left w:val="single" w:sz="4" w:space="0" w:color="auto"/>
              <w:bottom w:val="single" w:sz="4" w:space="0" w:color="auto"/>
              <w:right w:val="single" w:sz="4" w:space="0" w:color="auto"/>
            </w:tcBorders>
            <w:shd w:val="clear" w:color="auto" w:fill="auto"/>
            <w:hideMark/>
          </w:tcPr>
          <w:p w14:paraId="4C2736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5738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23DA1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outlined research activities encompass a wide range of methodologies and approaches aimed at advancing mathematical understanding and practical applications of prime numbers. By employing qualitative and quantitative methods, evaluating computational and memory needs, conducting theoretical analysis and algorithm development, collecting data and experimentation, and collaborating with other researchers, the project aims to achieve its objectives and contribute to the advancement of prime number research and application. These research activities form the foundation for achieving the project's goals and objectives and ensuring its success in addressing practical challenges related to prime number theory and application.</w:t>
            </w:r>
          </w:p>
        </w:tc>
        <w:tc>
          <w:tcPr>
            <w:tcW w:w="2566" w:type="dxa"/>
            <w:tcBorders>
              <w:top w:val="nil"/>
              <w:left w:val="nil"/>
              <w:bottom w:val="single" w:sz="4" w:space="0" w:color="auto"/>
              <w:right w:val="single" w:sz="4" w:space="0" w:color="auto"/>
            </w:tcBorders>
            <w:shd w:val="clear" w:color="auto" w:fill="auto"/>
            <w:hideMark/>
          </w:tcPr>
          <w:p w14:paraId="6271A1C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9888A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CFDA1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350E0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68641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6D45A4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E582E9" w14:textId="77777777" w:rsidTr="0041317E">
        <w:trPr>
          <w:trHeight w:val="2592"/>
        </w:trPr>
        <w:tc>
          <w:tcPr>
            <w:tcW w:w="1349" w:type="dxa"/>
            <w:tcBorders>
              <w:top w:val="nil"/>
              <w:left w:val="single" w:sz="4" w:space="0" w:color="auto"/>
              <w:bottom w:val="single" w:sz="4" w:space="0" w:color="auto"/>
              <w:right w:val="single" w:sz="4" w:space="0" w:color="auto"/>
            </w:tcBorders>
            <w:shd w:val="clear" w:color="auto" w:fill="auto"/>
            <w:hideMark/>
          </w:tcPr>
          <w:p w14:paraId="45BF11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4E1DF32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Deliverables: </w:t>
            </w:r>
          </w:p>
        </w:tc>
        <w:tc>
          <w:tcPr>
            <w:tcW w:w="6762" w:type="dxa"/>
            <w:tcBorders>
              <w:top w:val="nil"/>
              <w:left w:val="nil"/>
              <w:bottom w:val="single" w:sz="4" w:space="0" w:color="auto"/>
              <w:right w:val="single" w:sz="4" w:space="0" w:color="auto"/>
            </w:tcBorders>
            <w:shd w:val="clear" w:color="auto" w:fill="auto"/>
            <w:hideMark/>
          </w:tcPr>
          <w:p w14:paraId="6E06EAA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Specify the deliverables that will result from the project, such as research papers, software tools, datasets, or educational materials. Clearly communicate how these deliverables contribute to advancing knowledge in prime number theory or facilitating practical applications.</w:t>
            </w:r>
          </w:p>
        </w:tc>
        <w:tc>
          <w:tcPr>
            <w:tcW w:w="2566" w:type="dxa"/>
            <w:tcBorders>
              <w:top w:val="nil"/>
              <w:left w:val="nil"/>
              <w:bottom w:val="single" w:sz="4" w:space="0" w:color="auto"/>
              <w:right w:val="single" w:sz="4" w:space="0" w:color="auto"/>
            </w:tcBorders>
            <w:shd w:val="clear" w:color="auto" w:fill="auto"/>
            <w:hideMark/>
          </w:tcPr>
          <w:p w14:paraId="1A64D2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Deliverables: PrimeBookOne AppCommittee Maintaining Prime Finding Hosting and Trading Application : PrimeBookOne Tools Marketable Device Incorporatable Computation Enhancement</w:t>
            </w:r>
          </w:p>
        </w:tc>
      </w:tr>
      <w:tr w:rsidR="0041317E" w:rsidRPr="0041317E" w14:paraId="6C24E88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7DBE6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23F63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AA215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Deliverables are tangible outcomes that result from the project and contribute to advancing knowledge in prime number theory or facilitating practical applications. Here's an in-depth exploration of the specified deliverables and their significance:</w:t>
            </w:r>
          </w:p>
        </w:tc>
        <w:tc>
          <w:tcPr>
            <w:tcW w:w="2566" w:type="dxa"/>
            <w:tcBorders>
              <w:top w:val="nil"/>
              <w:left w:val="nil"/>
              <w:bottom w:val="single" w:sz="4" w:space="0" w:color="auto"/>
              <w:right w:val="single" w:sz="4" w:space="0" w:color="auto"/>
            </w:tcBorders>
            <w:shd w:val="clear" w:color="auto" w:fill="auto"/>
            <w:hideMark/>
          </w:tcPr>
          <w:p w14:paraId="49CD82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5AB5E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EFA98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C11AD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Deliverable 1: </w:t>
            </w:r>
          </w:p>
        </w:tc>
        <w:tc>
          <w:tcPr>
            <w:tcW w:w="6762" w:type="dxa"/>
            <w:tcBorders>
              <w:top w:val="nil"/>
              <w:left w:val="nil"/>
              <w:bottom w:val="single" w:sz="4" w:space="0" w:color="auto"/>
              <w:right w:val="single" w:sz="4" w:space="0" w:color="auto"/>
            </w:tcBorders>
            <w:shd w:val="clear" w:color="auto" w:fill="auto"/>
            <w:hideMark/>
          </w:tcPr>
          <w:p w14:paraId="612E8D3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App:</w:t>
            </w:r>
          </w:p>
        </w:tc>
        <w:tc>
          <w:tcPr>
            <w:tcW w:w="2566" w:type="dxa"/>
            <w:tcBorders>
              <w:top w:val="nil"/>
              <w:left w:val="nil"/>
              <w:bottom w:val="single" w:sz="4" w:space="0" w:color="auto"/>
              <w:right w:val="single" w:sz="4" w:space="0" w:color="auto"/>
            </w:tcBorders>
            <w:shd w:val="clear" w:color="auto" w:fill="auto"/>
            <w:hideMark/>
          </w:tcPr>
          <w:p w14:paraId="51EBF6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ED325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70233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830B2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50312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App is a flagship deliverable of the project, serving as a comprehensive platform for prime number discovery, analysis, and collaboration. This application will provide users with access to the PrimeBook database, prime number algorithms, and tools for prime number research and exploration.</w:t>
            </w:r>
          </w:p>
        </w:tc>
        <w:tc>
          <w:tcPr>
            <w:tcW w:w="2566" w:type="dxa"/>
            <w:tcBorders>
              <w:top w:val="nil"/>
              <w:left w:val="nil"/>
              <w:bottom w:val="single" w:sz="4" w:space="0" w:color="auto"/>
              <w:right w:val="single" w:sz="4" w:space="0" w:color="auto"/>
            </w:tcBorders>
            <w:shd w:val="clear" w:color="auto" w:fill="auto"/>
            <w:hideMark/>
          </w:tcPr>
          <w:p w14:paraId="6F79CE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E3233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CB1654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86888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300D3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AppCommittee will be responsible for maintaining and updating the PrimeBookOne App, ensuring the integrity and accessibility of prime number data for users worldwide. By hosting prime number discovery contests, sharing research findings, and facilitating user interactions, the PrimeBookOne AppCommittee aims to foster a vibrant community of prime number enthusiasts and researchers.</w:t>
            </w:r>
          </w:p>
        </w:tc>
        <w:tc>
          <w:tcPr>
            <w:tcW w:w="2566" w:type="dxa"/>
            <w:tcBorders>
              <w:top w:val="nil"/>
              <w:left w:val="nil"/>
              <w:bottom w:val="single" w:sz="4" w:space="0" w:color="auto"/>
              <w:right w:val="single" w:sz="4" w:space="0" w:color="auto"/>
            </w:tcBorders>
            <w:shd w:val="clear" w:color="auto" w:fill="auto"/>
            <w:hideMark/>
          </w:tcPr>
          <w:p w14:paraId="7E78BC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24DA1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CCB6D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468D5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A9696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This deliverable contributes to advancing knowledge in prime number theory by providing a centralized platform for prime number research and collaboration. By democratizing access to prime number data and tools, the PrimeBookOne App empowers users to contribute to prime number research and make meaningful contributions to mathematical knowledge.</w:t>
            </w:r>
          </w:p>
        </w:tc>
        <w:tc>
          <w:tcPr>
            <w:tcW w:w="2566" w:type="dxa"/>
            <w:tcBorders>
              <w:top w:val="nil"/>
              <w:left w:val="nil"/>
              <w:bottom w:val="single" w:sz="4" w:space="0" w:color="auto"/>
              <w:right w:val="single" w:sz="4" w:space="0" w:color="auto"/>
            </w:tcBorders>
            <w:shd w:val="clear" w:color="auto" w:fill="auto"/>
            <w:hideMark/>
          </w:tcPr>
          <w:p w14:paraId="123D2E4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7968C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0CF9A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5665B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Deliverable 2: </w:t>
            </w:r>
          </w:p>
        </w:tc>
        <w:tc>
          <w:tcPr>
            <w:tcW w:w="6762" w:type="dxa"/>
            <w:tcBorders>
              <w:top w:val="nil"/>
              <w:left w:val="nil"/>
              <w:bottom w:val="single" w:sz="4" w:space="0" w:color="auto"/>
              <w:right w:val="single" w:sz="4" w:space="0" w:color="auto"/>
            </w:tcBorders>
            <w:shd w:val="clear" w:color="auto" w:fill="auto"/>
            <w:hideMark/>
          </w:tcPr>
          <w:p w14:paraId="38896B7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Tools:</w:t>
            </w:r>
          </w:p>
        </w:tc>
        <w:tc>
          <w:tcPr>
            <w:tcW w:w="2566" w:type="dxa"/>
            <w:tcBorders>
              <w:top w:val="nil"/>
              <w:left w:val="nil"/>
              <w:bottom w:val="single" w:sz="4" w:space="0" w:color="auto"/>
              <w:right w:val="single" w:sz="4" w:space="0" w:color="auto"/>
            </w:tcBorders>
            <w:shd w:val="clear" w:color="auto" w:fill="auto"/>
            <w:hideMark/>
          </w:tcPr>
          <w:p w14:paraId="0AEC4E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67C3F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AB5BA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C0349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AE3CE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Tools comprise a suite of marketable devices and software applications designed to enhance computational performance and facilitate practical applications of prime numbers. These tools leverage the computational power of PrimeBook-enabled devices to accelerate data compression, encryption, communication, and analysis.</w:t>
            </w:r>
          </w:p>
        </w:tc>
        <w:tc>
          <w:tcPr>
            <w:tcW w:w="2566" w:type="dxa"/>
            <w:tcBorders>
              <w:top w:val="nil"/>
              <w:left w:val="nil"/>
              <w:bottom w:val="single" w:sz="4" w:space="0" w:color="auto"/>
              <w:right w:val="single" w:sz="4" w:space="0" w:color="auto"/>
            </w:tcBorders>
            <w:shd w:val="clear" w:color="auto" w:fill="auto"/>
            <w:hideMark/>
          </w:tcPr>
          <w:p w14:paraId="07633EA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D93BB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8D4D9A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ADD09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2878F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Tools aim to address practical challenges in industries such as cybersecurity, finance, and healthcare, where prime numbers play a crucial role in secure communication, data protection, and algorithm optimization. By integrating prime number functionality into everyday devices and applications, PrimeBookOne Tools enable users to harness the power of prime numbers for various applications.</w:t>
            </w:r>
          </w:p>
        </w:tc>
        <w:tc>
          <w:tcPr>
            <w:tcW w:w="2566" w:type="dxa"/>
            <w:tcBorders>
              <w:top w:val="nil"/>
              <w:left w:val="nil"/>
              <w:bottom w:val="single" w:sz="4" w:space="0" w:color="auto"/>
              <w:right w:val="single" w:sz="4" w:space="0" w:color="auto"/>
            </w:tcBorders>
            <w:shd w:val="clear" w:color="auto" w:fill="auto"/>
            <w:hideMark/>
          </w:tcPr>
          <w:p w14:paraId="2EB661F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A84AD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9D3AB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69072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454A1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This deliverable facilitates practical applications of prime numbers by providing users with tools and technologies that leverage prime number algorithms and data structures. By incorporating prime number functionality into marketable devices and software applications, PrimeBookOne Tools promote innovation, efficiency, and security in diverse industries and applications.</w:t>
            </w:r>
          </w:p>
        </w:tc>
        <w:tc>
          <w:tcPr>
            <w:tcW w:w="2566" w:type="dxa"/>
            <w:tcBorders>
              <w:top w:val="nil"/>
              <w:left w:val="nil"/>
              <w:bottom w:val="single" w:sz="4" w:space="0" w:color="auto"/>
              <w:right w:val="single" w:sz="4" w:space="0" w:color="auto"/>
            </w:tcBorders>
            <w:shd w:val="clear" w:color="auto" w:fill="auto"/>
            <w:hideMark/>
          </w:tcPr>
          <w:p w14:paraId="1D3796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D22D8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B4B04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02F97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65294CD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C7551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61FE6B" w14:textId="77777777" w:rsidTr="0041317E">
        <w:trPr>
          <w:trHeight w:val="2808"/>
        </w:trPr>
        <w:tc>
          <w:tcPr>
            <w:tcW w:w="1349" w:type="dxa"/>
            <w:tcBorders>
              <w:top w:val="nil"/>
              <w:left w:val="single" w:sz="4" w:space="0" w:color="auto"/>
              <w:bottom w:val="single" w:sz="4" w:space="0" w:color="auto"/>
              <w:right w:val="single" w:sz="4" w:space="0" w:color="auto"/>
            </w:tcBorders>
            <w:shd w:val="clear" w:color="auto" w:fill="auto"/>
            <w:hideMark/>
          </w:tcPr>
          <w:p w14:paraId="09296E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7A880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8C028A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specified deliverables of the project include the PrimeBookOne App and PrimeBookOne Tools, which serve as platforms for prime number research, collaboration, and practical applications. These deliverables contribute to advancing knowledge in prime number theory by providing users with access to prime number data, algorithms, and tools for research and exploration. By facilitating collaboration among prime number enthusiasts and enabling practical applications of prime numbers, these deliverables promote innovation, efficiency, and security in various industries and applications.</w:t>
            </w:r>
          </w:p>
        </w:tc>
        <w:tc>
          <w:tcPr>
            <w:tcW w:w="2566" w:type="dxa"/>
            <w:tcBorders>
              <w:top w:val="nil"/>
              <w:left w:val="nil"/>
              <w:bottom w:val="single" w:sz="4" w:space="0" w:color="auto"/>
              <w:right w:val="single" w:sz="4" w:space="0" w:color="auto"/>
            </w:tcBorders>
            <w:shd w:val="clear" w:color="auto" w:fill="auto"/>
            <w:hideMark/>
          </w:tcPr>
          <w:p w14:paraId="1EE4D23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F3F6E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96A38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0CE43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89CFC7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98EF25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5646AC" w14:textId="77777777" w:rsidTr="0041317E">
        <w:trPr>
          <w:trHeight w:val="3744"/>
        </w:trPr>
        <w:tc>
          <w:tcPr>
            <w:tcW w:w="1349" w:type="dxa"/>
            <w:tcBorders>
              <w:top w:val="nil"/>
              <w:left w:val="single" w:sz="4" w:space="0" w:color="auto"/>
              <w:bottom w:val="single" w:sz="4" w:space="0" w:color="auto"/>
              <w:right w:val="single" w:sz="4" w:space="0" w:color="auto"/>
            </w:tcBorders>
            <w:shd w:val="clear" w:color="auto" w:fill="auto"/>
            <w:hideMark/>
          </w:tcPr>
          <w:p w14:paraId="2952F8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6F16C2E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6. Timeline: </w:t>
            </w:r>
          </w:p>
        </w:tc>
        <w:tc>
          <w:tcPr>
            <w:tcW w:w="6762" w:type="dxa"/>
            <w:tcBorders>
              <w:top w:val="nil"/>
              <w:left w:val="nil"/>
              <w:bottom w:val="single" w:sz="4" w:space="0" w:color="auto"/>
              <w:right w:val="single" w:sz="4" w:space="0" w:color="auto"/>
            </w:tcBorders>
            <w:shd w:val="clear" w:color="auto" w:fill="auto"/>
            <w:hideMark/>
          </w:tcPr>
          <w:p w14:paraId="57408EF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a timeline or schedule that outlines the expected duration of the project and the timeline for achieving key milestones. This helps potential funders understand the time commitment involved and when they can expect to see results.</w:t>
            </w:r>
          </w:p>
        </w:tc>
        <w:tc>
          <w:tcPr>
            <w:tcW w:w="2566" w:type="dxa"/>
            <w:tcBorders>
              <w:top w:val="nil"/>
              <w:left w:val="nil"/>
              <w:bottom w:val="single" w:sz="4" w:space="0" w:color="auto"/>
              <w:right w:val="single" w:sz="4" w:space="0" w:color="auto"/>
            </w:tcBorders>
            <w:shd w:val="clear" w:color="auto" w:fill="auto"/>
            <w:hideMark/>
          </w:tcPr>
          <w:p w14:paraId="62B921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The project is expected to run forever as there are an Infinite number of Prime Numbers.  The different stages are the Alpha Programming Stage, then the Public Release, then the Committee Releases therein, Institutional and Educational Incorporation, Business Incorporation, Daily Computing Incorporation</w:t>
            </w:r>
          </w:p>
        </w:tc>
      </w:tr>
      <w:tr w:rsidR="0041317E" w:rsidRPr="0041317E" w14:paraId="55A2195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FE237A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7F108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A9469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timeline outlines the expected duration of the project and the schedule for achieving key milestones. Since the discovery and exploration of prime numbers are ongoing endeavors due to the infinite nature of prime numbers, the project is expected to run indefinitely. Here's an in-depth exploration of the proposed timeline and its different stages:</w:t>
            </w:r>
          </w:p>
        </w:tc>
        <w:tc>
          <w:tcPr>
            <w:tcW w:w="2566" w:type="dxa"/>
            <w:tcBorders>
              <w:top w:val="nil"/>
              <w:left w:val="nil"/>
              <w:bottom w:val="single" w:sz="4" w:space="0" w:color="auto"/>
              <w:right w:val="single" w:sz="4" w:space="0" w:color="auto"/>
            </w:tcBorders>
            <w:shd w:val="clear" w:color="auto" w:fill="auto"/>
            <w:hideMark/>
          </w:tcPr>
          <w:p w14:paraId="3E04B5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1F676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6B347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CD768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Alpha Programming Stage:</w:t>
            </w:r>
          </w:p>
        </w:tc>
        <w:tc>
          <w:tcPr>
            <w:tcW w:w="6762" w:type="dxa"/>
            <w:tcBorders>
              <w:top w:val="nil"/>
              <w:left w:val="nil"/>
              <w:bottom w:val="single" w:sz="4" w:space="0" w:color="auto"/>
              <w:right w:val="single" w:sz="4" w:space="0" w:color="auto"/>
            </w:tcBorders>
            <w:shd w:val="clear" w:color="auto" w:fill="auto"/>
            <w:hideMark/>
          </w:tcPr>
          <w:p w14:paraId="734894E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285FB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16CA7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4CFAB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FC8E7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F30B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Alpha Programming Stage marks the initial phase of the project, where the development of PrimeBookOne and associated tools begins. This stage involves designing and implementing core functionalities, testing algorithms, and refining user interfaces based on feedback from alpha testers.</w:t>
            </w:r>
          </w:p>
        </w:tc>
        <w:tc>
          <w:tcPr>
            <w:tcW w:w="2566" w:type="dxa"/>
            <w:tcBorders>
              <w:top w:val="nil"/>
              <w:left w:val="nil"/>
              <w:bottom w:val="single" w:sz="4" w:space="0" w:color="auto"/>
              <w:right w:val="single" w:sz="4" w:space="0" w:color="auto"/>
            </w:tcBorders>
            <w:shd w:val="clear" w:color="auto" w:fill="auto"/>
            <w:hideMark/>
          </w:tcPr>
          <w:p w14:paraId="130F1E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044BD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3616D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C3EAC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611C21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During this stage, the project team focuses on building a robust foundation for PrimeBookOne and ensuring compatibility with diverse computing environments. The alpha programming stage is characterized by iterative development cycles, continuous testing, and refinement of features to meet user requirements and technical specifications.</w:t>
            </w:r>
          </w:p>
        </w:tc>
        <w:tc>
          <w:tcPr>
            <w:tcW w:w="2566" w:type="dxa"/>
            <w:tcBorders>
              <w:top w:val="nil"/>
              <w:left w:val="nil"/>
              <w:bottom w:val="single" w:sz="4" w:space="0" w:color="auto"/>
              <w:right w:val="single" w:sz="4" w:space="0" w:color="auto"/>
            </w:tcBorders>
            <w:shd w:val="clear" w:color="auto" w:fill="auto"/>
            <w:hideMark/>
          </w:tcPr>
          <w:p w14:paraId="125077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67F09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3DEBD7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166A5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Public Release:</w:t>
            </w:r>
          </w:p>
        </w:tc>
        <w:tc>
          <w:tcPr>
            <w:tcW w:w="6762" w:type="dxa"/>
            <w:tcBorders>
              <w:top w:val="nil"/>
              <w:left w:val="nil"/>
              <w:bottom w:val="single" w:sz="4" w:space="0" w:color="auto"/>
              <w:right w:val="single" w:sz="4" w:space="0" w:color="auto"/>
            </w:tcBorders>
            <w:shd w:val="clear" w:color="auto" w:fill="auto"/>
            <w:hideMark/>
          </w:tcPr>
          <w:p w14:paraId="7DF9B68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FDD85E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7EF29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E850DA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694F6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1801C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Public Release signifies the official launch of PrimeBookOne and PrimeBookOne Tools to the general public. This milestone marks the culmination of extensive development efforts and signals the availability of prime number research and collaboration platforms to users worldwide.</w:t>
            </w:r>
          </w:p>
        </w:tc>
        <w:tc>
          <w:tcPr>
            <w:tcW w:w="2566" w:type="dxa"/>
            <w:tcBorders>
              <w:top w:val="nil"/>
              <w:left w:val="nil"/>
              <w:bottom w:val="single" w:sz="4" w:space="0" w:color="auto"/>
              <w:right w:val="single" w:sz="4" w:space="0" w:color="auto"/>
            </w:tcBorders>
            <w:shd w:val="clear" w:color="auto" w:fill="auto"/>
            <w:hideMark/>
          </w:tcPr>
          <w:p w14:paraId="5409F8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48392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A2DE7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260FE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3C4D2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With the public release, users gain access to PrimeBookOne App, PrimeBookOne Tools, and associated resources for prime number research, analysis, and practical applications. The project team continues to monitor user feedback, address issues, and implement enhancements to improve the user experience and functionality of PrimeBookOne.</w:t>
            </w:r>
          </w:p>
        </w:tc>
        <w:tc>
          <w:tcPr>
            <w:tcW w:w="2566" w:type="dxa"/>
            <w:tcBorders>
              <w:top w:val="nil"/>
              <w:left w:val="nil"/>
              <w:bottom w:val="single" w:sz="4" w:space="0" w:color="auto"/>
              <w:right w:val="single" w:sz="4" w:space="0" w:color="auto"/>
            </w:tcBorders>
            <w:shd w:val="clear" w:color="auto" w:fill="auto"/>
            <w:hideMark/>
          </w:tcPr>
          <w:p w14:paraId="0569D6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9BC40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5C486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7ACC1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Committee Releases:</w:t>
            </w:r>
          </w:p>
        </w:tc>
        <w:tc>
          <w:tcPr>
            <w:tcW w:w="6762" w:type="dxa"/>
            <w:tcBorders>
              <w:top w:val="nil"/>
              <w:left w:val="nil"/>
              <w:bottom w:val="single" w:sz="4" w:space="0" w:color="auto"/>
              <w:right w:val="single" w:sz="4" w:space="0" w:color="auto"/>
            </w:tcBorders>
            <w:shd w:val="clear" w:color="auto" w:fill="auto"/>
            <w:hideMark/>
          </w:tcPr>
          <w:p w14:paraId="14F422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D7105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FFC2B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7BC57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7C498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E1ED84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Committee Releases refer to periodic updates and releases of PrimeBookOne App and Tools by the PrimeBookOne AppCommittee. These releases include new features, bug fixes, performance optimizations, and security updates based on input from users, researchers, and industry experts.</w:t>
            </w:r>
          </w:p>
        </w:tc>
        <w:tc>
          <w:tcPr>
            <w:tcW w:w="2566" w:type="dxa"/>
            <w:tcBorders>
              <w:top w:val="nil"/>
              <w:left w:val="nil"/>
              <w:bottom w:val="single" w:sz="4" w:space="0" w:color="auto"/>
              <w:right w:val="single" w:sz="4" w:space="0" w:color="auto"/>
            </w:tcBorders>
            <w:shd w:val="clear" w:color="auto" w:fill="auto"/>
            <w:hideMark/>
          </w:tcPr>
          <w:p w14:paraId="205AFF4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07B79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7DEFA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3F7D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EADE0B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AppCommittee plays a crucial role in overseeing the development, maintenance, and governance of PrimeBookOne platforms. Through transparent decision-making processes and community engagement initiatives, the committee ensures the integrity and sustainability of PrimeBookOne ecosystem.</w:t>
            </w:r>
          </w:p>
        </w:tc>
        <w:tc>
          <w:tcPr>
            <w:tcW w:w="2566" w:type="dxa"/>
            <w:tcBorders>
              <w:top w:val="nil"/>
              <w:left w:val="nil"/>
              <w:bottom w:val="single" w:sz="4" w:space="0" w:color="auto"/>
              <w:right w:val="single" w:sz="4" w:space="0" w:color="auto"/>
            </w:tcBorders>
            <w:shd w:val="clear" w:color="auto" w:fill="auto"/>
            <w:hideMark/>
          </w:tcPr>
          <w:p w14:paraId="0F91FF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39FCA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61B3D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1AE30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Institutional and Educational Incorporation:</w:t>
            </w:r>
          </w:p>
        </w:tc>
        <w:tc>
          <w:tcPr>
            <w:tcW w:w="6762" w:type="dxa"/>
            <w:tcBorders>
              <w:top w:val="nil"/>
              <w:left w:val="nil"/>
              <w:bottom w:val="single" w:sz="4" w:space="0" w:color="auto"/>
              <w:right w:val="single" w:sz="4" w:space="0" w:color="auto"/>
            </w:tcBorders>
            <w:shd w:val="clear" w:color="auto" w:fill="auto"/>
            <w:hideMark/>
          </w:tcPr>
          <w:p w14:paraId="5885608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FD62AF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6A9176"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99D4BE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74FB1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D0661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Institutional and Educational Incorporation involves integrating PrimeBookOne platforms into academic institutions, research organizations, and educational settings. This stage focuses on establishing partnerships, developing curriculum resources, and conducting outreach activities to promote the adoption and usage of PrimeBookOne in educational environments.</w:t>
            </w:r>
          </w:p>
        </w:tc>
        <w:tc>
          <w:tcPr>
            <w:tcW w:w="2566" w:type="dxa"/>
            <w:tcBorders>
              <w:top w:val="nil"/>
              <w:left w:val="nil"/>
              <w:bottom w:val="single" w:sz="4" w:space="0" w:color="auto"/>
              <w:right w:val="single" w:sz="4" w:space="0" w:color="auto"/>
            </w:tcBorders>
            <w:shd w:val="clear" w:color="auto" w:fill="auto"/>
            <w:hideMark/>
          </w:tcPr>
          <w:p w14:paraId="01EA1D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37F74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C5B25C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C404F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DFFB69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incorporating PrimeBookOne into institutional and educational settings, the project aims to empower students, researchers, and educators with tools and resources for prime number research and exploration. This stage facilitates knowledge dissemination, interdisciplinary collaboration, and skill development in prime number theory and applications.</w:t>
            </w:r>
          </w:p>
        </w:tc>
        <w:tc>
          <w:tcPr>
            <w:tcW w:w="2566" w:type="dxa"/>
            <w:tcBorders>
              <w:top w:val="nil"/>
              <w:left w:val="nil"/>
              <w:bottom w:val="single" w:sz="4" w:space="0" w:color="auto"/>
              <w:right w:val="single" w:sz="4" w:space="0" w:color="auto"/>
            </w:tcBorders>
            <w:shd w:val="clear" w:color="auto" w:fill="auto"/>
            <w:hideMark/>
          </w:tcPr>
          <w:p w14:paraId="560BF1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64FE8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515F48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52861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Business Incorporation:</w:t>
            </w:r>
          </w:p>
        </w:tc>
        <w:tc>
          <w:tcPr>
            <w:tcW w:w="6762" w:type="dxa"/>
            <w:tcBorders>
              <w:top w:val="nil"/>
              <w:left w:val="nil"/>
              <w:bottom w:val="single" w:sz="4" w:space="0" w:color="auto"/>
              <w:right w:val="single" w:sz="4" w:space="0" w:color="auto"/>
            </w:tcBorders>
            <w:shd w:val="clear" w:color="auto" w:fill="auto"/>
            <w:hideMark/>
          </w:tcPr>
          <w:p w14:paraId="46EE9F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B681E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E56FD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185C90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7DE3B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96AD7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Business Incorporation entails establishing PrimeBookOne as a sustainable and scalable venture, with a focus on commercialization and revenue generation. This stage involves forming strategic partnerships, developing business models, and launching revenue-generating initiatives such as premium subscriptions, licensing agreements, and sponsored research programs.</w:t>
            </w:r>
          </w:p>
        </w:tc>
        <w:tc>
          <w:tcPr>
            <w:tcW w:w="2566" w:type="dxa"/>
            <w:tcBorders>
              <w:top w:val="nil"/>
              <w:left w:val="nil"/>
              <w:bottom w:val="single" w:sz="4" w:space="0" w:color="auto"/>
              <w:right w:val="single" w:sz="4" w:space="0" w:color="auto"/>
            </w:tcBorders>
            <w:shd w:val="clear" w:color="auto" w:fill="auto"/>
            <w:hideMark/>
          </w:tcPr>
          <w:p w14:paraId="4B8985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77A7C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E00181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A82E5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06F50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transitioning from a research project to a commercial enterprise, PrimeBookOne aims to ensure long-term viability and sustainability while continuing to innovate and advance prime number research and applications. This stage leverages business expertise, market insights, and financial resources to support the growth and expansion of PrimeBookOne ecosystem.</w:t>
            </w:r>
          </w:p>
        </w:tc>
        <w:tc>
          <w:tcPr>
            <w:tcW w:w="2566" w:type="dxa"/>
            <w:tcBorders>
              <w:top w:val="nil"/>
              <w:left w:val="nil"/>
              <w:bottom w:val="single" w:sz="4" w:space="0" w:color="auto"/>
              <w:right w:val="single" w:sz="4" w:space="0" w:color="auto"/>
            </w:tcBorders>
            <w:shd w:val="clear" w:color="auto" w:fill="auto"/>
            <w:hideMark/>
          </w:tcPr>
          <w:p w14:paraId="5CF21E0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A861D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C6C22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787FA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Daily Computing Incorporation:</w:t>
            </w:r>
          </w:p>
        </w:tc>
        <w:tc>
          <w:tcPr>
            <w:tcW w:w="6762" w:type="dxa"/>
            <w:tcBorders>
              <w:top w:val="nil"/>
              <w:left w:val="nil"/>
              <w:bottom w:val="single" w:sz="4" w:space="0" w:color="auto"/>
              <w:right w:val="single" w:sz="4" w:space="0" w:color="auto"/>
            </w:tcBorders>
            <w:shd w:val="clear" w:color="auto" w:fill="auto"/>
            <w:hideMark/>
          </w:tcPr>
          <w:p w14:paraId="78C71B3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96BE1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84D3D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8BF41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51682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169E6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Daily Computing Incorporation represents the ultimate stage of the project, where PrimeBookOne platforms are seamlessly integrated into everyday computing environments. This stage involves embedding prime number functionality into mainstream devices, applications, and services, making prime number research and applications accessible to a global audience.</w:t>
            </w:r>
          </w:p>
        </w:tc>
        <w:tc>
          <w:tcPr>
            <w:tcW w:w="2566" w:type="dxa"/>
            <w:tcBorders>
              <w:top w:val="nil"/>
              <w:left w:val="nil"/>
              <w:bottom w:val="single" w:sz="4" w:space="0" w:color="auto"/>
              <w:right w:val="single" w:sz="4" w:space="0" w:color="auto"/>
            </w:tcBorders>
            <w:shd w:val="clear" w:color="auto" w:fill="auto"/>
            <w:hideMark/>
          </w:tcPr>
          <w:p w14:paraId="10C6B7C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47878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CBEA4D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C66A2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E32DC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incorporating PrimeBookOne into daily computing environments, the project aims to democratize prime number research and empower users with tools and resources for exploring prime numbers in their daily lives. This stage represents the culmination of efforts to promote mathematical literacy, scientific inquiry, and computational innovation on a global scale.</w:t>
            </w:r>
          </w:p>
        </w:tc>
        <w:tc>
          <w:tcPr>
            <w:tcW w:w="2566" w:type="dxa"/>
            <w:tcBorders>
              <w:top w:val="nil"/>
              <w:left w:val="nil"/>
              <w:bottom w:val="single" w:sz="4" w:space="0" w:color="auto"/>
              <w:right w:val="single" w:sz="4" w:space="0" w:color="auto"/>
            </w:tcBorders>
            <w:shd w:val="clear" w:color="auto" w:fill="auto"/>
            <w:hideMark/>
          </w:tcPr>
          <w:p w14:paraId="4C606D2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8AFF1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526CE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D8BEB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7218E19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946F9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2B6172"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3B6968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CF71F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2544A8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proposed timeline outlines the expected duration of the project and the schedule for achieving key milestones. From the Alpha Programming Stage to Daily Computing Incorporation, the project aims to advance prime number research and applications while promoting collaboration, innovation, and accessibility in the mathematics community. The indefinite nature of prime number exploration underscores the ongoing commitment to advancing mathematical knowledge and fostering practical applications of prime numbers in various domains.</w:t>
            </w:r>
          </w:p>
        </w:tc>
        <w:tc>
          <w:tcPr>
            <w:tcW w:w="2566" w:type="dxa"/>
            <w:tcBorders>
              <w:top w:val="nil"/>
              <w:left w:val="nil"/>
              <w:bottom w:val="single" w:sz="4" w:space="0" w:color="auto"/>
              <w:right w:val="single" w:sz="4" w:space="0" w:color="auto"/>
            </w:tcBorders>
            <w:shd w:val="clear" w:color="auto" w:fill="auto"/>
            <w:hideMark/>
          </w:tcPr>
          <w:p w14:paraId="46BCEF0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A5C3E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04634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4D3D9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40215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D4B165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3632D0" w14:textId="77777777" w:rsidTr="0041317E">
        <w:trPr>
          <w:trHeight w:val="4644"/>
        </w:trPr>
        <w:tc>
          <w:tcPr>
            <w:tcW w:w="1349" w:type="dxa"/>
            <w:tcBorders>
              <w:top w:val="nil"/>
              <w:left w:val="single" w:sz="4" w:space="0" w:color="auto"/>
              <w:bottom w:val="single" w:sz="4" w:space="0" w:color="auto"/>
              <w:right w:val="single" w:sz="4" w:space="0" w:color="auto"/>
            </w:tcBorders>
            <w:shd w:val="clear" w:color="auto" w:fill="auto"/>
            <w:hideMark/>
          </w:tcPr>
          <w:p w14:paraId="66585D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66FEBAF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Quantifiable Impact: </w:t>
            </w:r>
          </w:p>
        </w:tc>
        <w:tc>
          <w:tcPr>
            <w:tcW w:w="6762" w:type="dxa"/>
            <w:tcBorders>
              <w:top w:val="nil"/>
              <w:left w:val="nil"/>
              <w:bottom w:val="single" w:sz="4" w:space="0" w:color="auto"/>
              <w:right w:val="single" w:sz="4" w:space="0" w:color="auto"/>
            </w:tcBorders>
            <w:shd w:val="clear" w:color="auto" w:fill="auto"/>
            <w:hideMark/>
          </w:tcPr>
          <w:p w14:paraId="5557779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Describe the quantifiable impact that achieving the project objectives will have on advancing mathematical understanding, solving practical problems, or benefiting society. This could include metrics such as improved algorithm performance, increased efficiency in prime counting methods, or enhanced security in cryptographic applications.</w:t>
            </w:r>
          </w:p>
        </w:tc>
        <w:tc>
          <w:tcPr>
            <w:tcW w:w="2566" w:type="dxa"/>
            <w:tcBorders>
              <w:top w:val="nil"/>
              <w:left w:val="nil"/>
              <w:bottom w:val="single" w:sz="4" w:space="0" w:color="auto"/>
              <w:right w:val="single" w:sz="4" w:space="0" w:color="auto"/>
            </w:tcBorders>
            <w:shd w:val="clear" w:color="auto" w:fill="auto"/>
            <w:hideMark/>
          </w:tcPr>
          <w:p w14:paraId="179397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Everything is a number represented in binary.  So everything is either divisible by a prime or it is not.  Being so, very large prime numbers can be generated with ease and changed slightly to fit the original number.  Using primes like lilli-pads to leap large mathematical distances with little computational weight.  Creating the same giant multi-gigabyte number using fewer steps and geometric-rebuilding methods.  Since every file is actually a circle, and therefore a sphere, the data can be aranged in trigonometric patterens to be unfolded revealing the original number in cases of compression.  Using the computer to unfold the file, would make a small file that only requires computation to inflate.  Compression and representing large numbers as small numbers. Representing counting systems as Primes  Irrationals and Pi.  Every number has a near infinite method for building it, using primes and pi and geometry, the PrimeBookOne Project aims to succeed at making the computaional world vastly more powerful and agile.</w:t>
            </w:r>
          </w:p>
        </w:tc>
      </w:tr>
      <w:tr w:rsidR="0041317E" w:rsidRPr="0041317E" w14:paraId="3CA47CF0"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7E47FF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1427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376E4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C8F9D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6099BA"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0D59CC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F4A49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5A5D3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Describing the quantifiable impact of achieving the project objectives involves highlighting the tangible benefits in advancing mathematical understanding, solving practical problems, and benefiting society. Here's an in-depth exploration of the quantifiable impact of the PrimeBookOne Project:</w:t>
            </w:r>
          </w:p>
        </w:tc>
        <w:tc>
          <w:tcPr>
            <w:tcW w:w="2566" w:type="dxa"/>
            <w:tcBorders>
              <w:top w:val="nil"/>
              <w:left w:val="nil"/>
              <w:bottom w:val="single" w:sz="4" w:space="0" w:color="auto"/>
              <w:right w:val="single" w:sz="4" w:space="0" w:color="auto"/>
            </w:tcBorders>
            <w:shd w:val="clear" w:color="auto" w:fill="auto"/>
            <w:hideMark/>
          </w:tcPr>
          <w:p w14:paraId="61B5E6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485C15"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06F644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B254C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Utilization of Prime Numbers for Computational Efficiency:</w:t>
            </w:r>
          </w:p>
        </w:tc>
        <w:tc>
          <w:tcPr>
            <w:tcW w:w="6762" w:type="dxa"/>
            <w:tcBorders>
              <w:top w:val="nil"/>
              <w:left w:val="nil"/>
              <w:bottom w:val="single" w:sz="4" w:space="0" w:color="auto"/>
              <w:right w:val="single" w:sz="4" w:space="0" w:color="auto"/>
            </w:tcBorders>
            <w:shd w:val="clear" w:color="auto" w:fill="auto"/>
            <w:hideMark/>
          </w:tcPr>
          <w:p w14:paraId="446A72A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2BCC1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BA53AC"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19016B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84AC4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D1861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quantifiable impact of the PrimeBookOne Project lies in its ability to leverage prime numbers for computational efficiency and optimization. By exploiting the unique properties of prime numbers, such as their indivisibility and ubiquity in mathematical structures, the project aims to streamline computational processes and reduce computational complexity.</w:t>
            </w:r>
          </w:p>
        </w:tc>
        <w:tc>
          <w:tcPr>
            <w:tcW w:w="2566" w:type="dxa"/>
            <w:tcBorders>
              <w:top w:val="nil"/>
              <w:left w:val="nil"/>
              <w:bottom w:val="single" w:sz="4" w:space="0" w:color="auto"/>
              <w:right w:val="single" w:sz="4" w:space="0" w:color="auto"/>
            </w:tcBorders>
            <w:shd w:val="clear" w:color="auto" w:fill="auto"/>
            <w:hideMark/>
          </w:tcPr>
          <w:p w14:paraId="231214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C70E45"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122893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A006F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B38064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Improved algorithm performance metrics, such as reduced runtime, increased throughput, and enhanced scalability, serve as quantifiable indicators of the project's impact on computational efficiency. By developing innovative algorithms and computational techniques that leverage prime numbers, the project aims to achieve significant advancements in algorithmic performance across various domains, from data compression and encryption to mathematical modeling and simulation.</w:t>
            </w:r>
          </w:p>
        </w:tc>
        <w:tc>
          <w:tcPr>
            <w:tcW w:w="2566" w:type="dxa"/>
            <w:tcBorders>
              <w:top w:val="nil"/>
              <w:left w:val="nil"/>
              <w:bottom w:val="single" w:sz="4" w:space="0" w:color="auto"/>
              <w:right w:val="single" w:sz="4" w:space="0" w:color="auto"/>
            </w:tcBorders>
            <w:shd w:val="clear" w:color="auto" w:fill="auto"/>
            <w:hideMark/>
          </w:tcPr>
          <w:p w14:paraId="3F549A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C238D8"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0E7B47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61C3B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Enhanced Security in Cryptographic Applications:</w:t>
            </w:r>
          </w:p>
        </w:tc>
        <w:tc>
          <w:tcPr>
            <w:tcW w:w="6762" w:type="dxa"/>
            <w:tcBorders>
              <w:top w:val="nil"/>
              <w:left w:val="nil"/>
              <w:bottom w:val="single" w:sz="4" w:space="0" w:color="auto"/>
              <w:right w:val="single" w:sz="4" w:space="0" w:color="auto"/>
            </w:tcBorders>
            <w:shd w:val="clear" w:color="auto" w:fill="auto"/>
            <w:hideMark/>
          </w:tcPr>
          <w:p w14:paraId="039D54D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5CB7E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6296AC"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780B7F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2AF53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0DF05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Another quantifiable impact of the PrimeBookOne Project is its contribution to enhancing security in cryptographic applications. Prime numbers play a crucial role in cryptographic protocols, such as RSA encryption, where the security of the system relies on the difficulty of factoring large composite numbers into their prime factors.</w:t>
            </w:r>
          </w:p>
        </w:tc>
        <w:tc>
          <w:tcPr>
            <w:tcW w:w="2566" w:type="dxa"/>
            <w:tcBorders>
              <w:top w:val="nil"/>
              <w:left w:val="nil"/>
              <w:bottom w:val="single" w:sz="4" w:space="0" w:color="auto"/>
              <w:right w:val="single" w:sz="4" w:space="0" w:color="auto"/>
            </w:tcBorders>
            <w:shd w:val="clear" w:color="auto" w:fill="auto"/>
            <w:hideMark/>
          </w:tcPr>
          <w:p w14:paraId="7CCAC7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78CD55"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033B044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1ED4D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D7B11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generating large prime numbers with ease and efficiency, the project aims to strengthen the security of cryptographic systems and protocols. Quantifiable metrics, such as increased key size, improved resistance to brute-force attacks, and enhanced encryption strength, demonstrate the project's impact on enhancing security in cryptographic applications.</w:t>
            </w:r>
          </w:p>
        </w:tc>
        <w:tc>
          <w:tcPr>
            <w:tcW w:w="2566" w:type="dxa"/>
            <w:tcBorders>
              <w:top w:val="nil"/>
              <w:left w:val="nil"/>
              <w:bottom w:val="single" w:sz="4" w:space="0" w:color="auto"/>
              <w:right w:val="single" w:sz="4" w:space="0" w:color="auto"/>
            </w:tcBorders>
            <w:shd w:val="clear" w:color="auto" w:fill="auto"/>
            <w:hideMark/>
          </w:tcPr>
          <w:p w14:paraId="7CB1BB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9FA2D0"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3A6A23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EC34D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Efficient Data Compression and Representation:</w:t>
            </w:r>
          </w:p>
        </w:tc>
        <w:tc>
          <w:tcPr>
            <w:tcW w:w="6762" w:type="dxa"/>
            <w:tcBorders>
              <w:top w:val="nil"/>
              <w:left w:val="nil"/>
              <w:bottom w:val="single" w:sz="4" w:space="0" w:color="auto"/>
              <w:right w:val="single" w:sz="4" w:space="0" w:color="auto"/>
            </w:tcBorders>
            <w:shd w:val="clear" w:color="auto" w:fill="auto"/>
            <w:hideMark/>
          </w:tcPr>
          <w:p w14:paraId="44B4970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F1340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77CF2F"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0735AD4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453A9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E6526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also aims to achieve quantifiable improvements in data compression and representation techniques. By leveraging prime numbers, pi, and geometric principles, the project aims to develop novel compression algorithms and data representation methods that enable efficient storage and transmission of large datasets.</w:t>
            </w:r>
          </w:p>
        </w:tc>
        <w:tc>
          <w:tcPr>
            <w:tcW w:w="2566" w:type="dxa"/>
            <w:tcBorders>
              <w:top w:val="nil"/>
              <w:left w:val="nil"/>
              <w:bottom w:val="single" w:sz="4" w:space="0" w:color="auto"/>
              <w:right w:val="single" w:sz="4" w:space="0" w:color="auto"/>
            </w:tcBorders>
            <w:shd w:val="clear" w:color="auto" w:fill="auto"/>
            <w:hideMark/>
          </w:tcPr>
          <w:p w14:paraId="69F3B51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728911"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20541A0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76BA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CCAA8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Quantifiable metrics, such as compression ratio, compression speed, and decompression efficiency, serve as indicators of the project's impact on data compression and representation. By reducing file sizes and bandwidth requirements while preserving data integrity and fidelity, the project aims to revolutionize data storage, transmission, and analysis in various domains, from digital media and telecommunications to scientific research and healthcare.</w:t>
            </w:r>
          </w:p>
        </w:tc>
        <w:tc>
          <w:tcPr>
            <w:tcW w:w="2566" w:type="dxa"/>
            <w:tcBorders>
              <w:top w:val="nil"/>
              <w:left w:val="nil"/>
              <w:bottom w:val="single" w:sz="4" w:space="0" w:color="auto"/>
              <w:right w:val="single" w:sz="4" w:space="0" w:color="auto"/>
            </w:tcBorders>
            <w:shd w:val="clear" w:color="auto" w:fill="auto"/>
            <w:hideMark/>
          </w:tcPr>
          <w:p w14:paraId="34B748D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9206A7"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230142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4E829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Advancements in Mathematical Modeling and Simulation:</w:t>
            </w:r>
          </w:p>
        </w:tc>
        <w:tc>
          <w:tcPr>
            <w:tcW w:w="6762" w:type="dxa"/>
            <w:tcBorders>
              <w:top w:val="nil"/>
              <w:left w:val="nil"/>
              <w:bottom w:val="single" w:sz="4" w:space="0" w:color="auto"/>
              <w:right w:val="single" w:sz="4" w:space="0" w:color="auto"/>
            </w:tcBorders>
            <w:shd w:val="clear" w:color="auto" w:fill="auto"/>
            <w:hideMark/>
          </w:tcPr>
          <w:p w14:paraId="18F403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2B34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58F373"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45161B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176D4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9C8FEB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Furthermore, the PrimeBookOne Project aims to achieve quantifiable advancements in mathematical modeling and simulation capabilities. By utilizing prime numbers and geometric-rebuilding methods, the project aims to enable more accurate and efficient mathematical representations of complex systems and phenomena.</w:t>
            </w:r>
          </w:p>
        </w:tc>
        <w:tc>
          <w:tcPr>
            <w:tcW w:w="2566" w:type="dxa"/>
            <w:tcBorders>
              <w:top w:val="nil"/>
              <w:left w:val="nil"/>
              <w:bottom w:val="single" w:sz="4" w:space="0" w:color="auto"/>
              <w:right w:val="single" w:sz="4" w:space="0" w:color="auto"/>
            </w:tcBorders>
            <w:shd w:val="clear" w:color="auto" w:fill="auto"/>
            <w:hideMark/>
          </w:tcPr>
          <w:p w14:paraId="1EDF660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454DBF"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1E8080B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D76CC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762A1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Quantifiable metrics, such as simulation accuracy, computational speed, and scalability, serve as indicators of the project's impact on mathematical modeling and simulation. By providing researchers and scientists with powerful computational tools and techniques, the project aims to accelerate scientific discovery, innovation, and problem-solving in diverse fields, from physics and engineering to biology and finance.</w:t>
            </w:r>
          </w:p>
        </w:tc>
        <w:tc>
          <w:tcPr>
            <w:tcW w:w="2566" w:type="dxa"/>
            <w:tcBorders>
              <w:top w:val="nil"/>
              <w:left w:val="nil"/>
              <w:bottom w:val="single" w:sz="4" w:space="0" w:color="auto"/>
              <w:right w:val="single" w:sz="4" w:space="0" w:color="auto"/>
            </w:tcBorders>
            <w:shd w:val="clear" w:color="auto" w:fill="auto"/>
            <w:hideMark/>
          </w:tcPr>
          <w:p w14:paraId="1939E6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4A20A5" w14:textId="77777777" w:rsidTr="0041317E">
        <w:trPr>
          <w:trHeight w:val="402"/>
        </w:trPr>
        <w:tc>
          <w:tcPr>
            <w:tcW w:w="1349" w:type="dxa"/>
            <w:tcBorders>
              <w:top w:val="nil"/>
              <w:left w:val="single" w:sz="4" w:space="0" w:color="auto"/>
              <w:bottom w:val="single" w:sz="4" w:space="0" w:color="auto"/>
              <w:right w:val="single" w:sz="4" w:space="0" w:color="auto"/>
            </w:tcBorders>
            <w:shd w:val="clear" w:color="auto" w:fill="auto"/>
            <w:hideMark/>
          </w:tcPr>
          <w:p w14:paraId="46C48B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2A810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62A4DD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9D0AB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2343D7" w14:textId="77777777" w:rsidTr="0041317E">
        <w:trPr>
          <w:trHeight w:val="3120"/>
        </w:trPr>
        <w:tc>
          <w:tcPr>
            <w:tcW w:w="1349" w:type="dxa"/>
            <w:tcBorders>
              <w:top w:val="nil"/>
              <w:left w:val="single" w:sz="4" w:space="0" w:color="auto"/>
              <w:bottom w:val="single" w:sz="4" w:space="0" w:color="auto"/>
              <w:right w:val="single" w:sz="4" w:space="0" w:color="auto"/>
            </w:tcBorders>
            <w:shd w:val="clear" w:color="auto" w:fill="auto"/>
            <w:hideMark/>
          </w:tcPr>
          <w:p w14:paraId="07D30C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A554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A0998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quantifiable impact of the PrimeBookOne Project encompasses improvements in algorithm performance, enhanced security in cryptographic applications, efficient data compression and representation, and advancements in mathematical modeling and simulation capabilities. By leveraging prime numbers, pi, and geometric principles, the project aims to achieve tangible benefits in computational efficiency, data security, and scientific innovation. The quantifiable impact of the project serves as a testament to its significance in advancing mathematical understanding, solving practical problems, and benefiting society as a whole.</w:t>
            </w:r>
          </w:p>
        </w:tc>
        <w:tc>
          <w:tcPr>
            <w:tcW w:w="2566" w:type="dxa"/>
            <w:tcBorders>
              <w:top w:val="nil"/>
              <w:left w:val="nil"/>
              <w:bottom w:val="single" w:sz="4" w:space="0" w:color="auto"/>
              <w:right w:val="single" w:sz="4" w:space="0" w:color="auto"/>
            </w:tcBorders>
            <w:shd w:val="clear" w:color="auto" w:fill="auto"/>
            <w:hideMark/>
          </w:tcPr>
          <w:p w14:paraId="5F2F35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D59F1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0EE63A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70C6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863EA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1E19E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5A472E" w14:textId="77777777" w:rsidTr="0041317E">
        <w:trPr>
          <w:trHeight w:val="8064"/>
        </w:trPr>
        <w:tc>
          <w:tcPr>
            <w:tcW w:w="1349" w:type="dxa"/>
            <w:tcBorders>
              <w:top w:val="nil"/>
              <w:left w:val="single" w:sz="4" w:space="0" w:color="auto"/>
              <w:bottom w:val="single" w:sz="4" w:space="0" w:color="auto"/>
              <w:right w:val="single" w:sz="4" w:space="0" w:color="auto"/>
            </w:tcBorders>
            <w:shd w:val="clear" w:color="auto" w:fill="auto"/>
            <w:hideMark/>
          </w:tcPr>
          <w:p w14:paraId="714446A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63589C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8. Long-Term Vision: </w:t>
            </w:r>
          </w:p>
        </w:tc>
        <w:tc>
          <w:tcPr>
            <w:tcW w:w="6762" w:type="dxa"/>
            <w:tcBorders>
              <w:top w:val="nil"/>
              <w:left w:val="nil"/>
              <w:bottom w:val="single" w:sz="4" w:space="0" w:color="auto"/>
              <w:right w:val="single" w:sz="4" w:space="0" w:color="auto"/>
            </w:tcBorders>
            <w:shd w:val="clear" w:color="auto" w:fill="auto"/>
            <w:hideMark/>
          </w:tcPr>
          <w:p w14:paraId="598B61A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Articulate the long-term vision for the project beyond the initial funding period. Discuss how the insights gained and the resources developed during the project will contribute to ongoing research efforts, future collaborations, or applications in other domains.</w:t>
            </w:r>
          </w:p>
        </w:tc>
        <w:tc>
          <w:tcPr>
            <w:tcW w:w="2566" w:type="dxa"/>
            <w:tcBorders>
              <w:top w:val="nil"/>
              <w:left w:val="nil"/>
              <w:bottom w:val="single" w:sz="4" w:space="0" w:color="auto"/>
              <w:right w:val="single" w:sz="4" w:space="0" w:color="auto"/>
            </w:tcBorders>
            <w:shd w:val="clear" w:color="auto" w:fill="auto"/>
            <w:hideMark/>
          </w:tcPr>
          <w:p w14:paraId="532E82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Build upon all previous prime finds for infinity.  Build a committee of evolving programers that upkeep the PrimeBookOne program and open-database of prime differences.  Primebook Toolkit to be updated and marketed by Antikytherian Company.  Future incorporation of data-on-chip foundaries into existing S-O-C packages.  Enhanced data processing using base primes.  Open SDK to incorporate PrimeBookOne prime database into multiple sorts of programs.  Exchange of prime-find certificates between users. Incorporation of Prime Toolset including Compression, Cryptography, Communication and so forth into all current device Operating Systems.</w:t>
            </w:r>
          </w:p>
        </w:tc>
      </w:tr>
      <w:tr w:rsidR="0041317E" w:rsidRPr="0041317E" w14:paraId="3A599A9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469843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02A1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EA475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long-term vision for the PrimeBookOne Project extends beyond the initial funding period, aiming to establish a sustainable ecosystem for prime number research, collaboration, and application. Here's an in-depth exploration of the long-term vision and its various components:</w:t>
            </w:r>
          </w:p>
        </w:tc>
        <w:tc>
          <w:tcPr>
            <w:tcW w:w="2566" w:type="dxa"/>
            <w:tcBorders>
              <w:top w:val="nil"/>
              <w:left w:val="nil"/>
              <w:bottom w:val="single" w:sz="4" w:space="0" w:color="auto"/>
              <w:right w:val="single" w:sz="4" w:space="0" w:color="auto"/>
            </w:tcBorders>
            <w:shd w:val="clear" w:color="auto" w:fill="auto"/>
            <w:hideMark/>
          </w:tcPr>
          <w:p w14:paraId="60BFD4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2B80C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A8D4A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63BC0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Continued Prime Number Exploration for Infinity:</w:t>
            </w:r>
          </w:p>
        </w:tc>
        <w:tc>
          <w:tcPr>
            <w:tcW w:w="6762" w:type="dxa"/>
            <w:tcBorders>
              <w:top w:val="nil"/>
              <w:left w:val="nil"/>
              <w:bottom w:val="single" w:sz="4" w:space="0" w:color="auto"/>
              <w:right w:val="single" w:sz="4" w:space="0" w:color="auto"/>
            </w:tcBorders>
            <w:shd w:val="clear" w:color="auto" w:fill="auto"/>
            <w:hideMark/>
          </w:tcPr>
          <w:p w14:paraId="4232036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3BA82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F4C56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0F7DD3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EF0E5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067E7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long-term vision of the PrimeBookOne Project is to build upon all previous prime finds and continue the exploration of prime numbers for infinity. By maintaining an open database of prime differences and fostering a community of researchers and enthusiasts, the project aims to contribute to ongoing efforts in prime number theory and exploration.</w:t>
            </w:r>
          </w:p>
        </w:tc>
        <w:tc>
          <w:tcPr>
            <w:tcW w:w="2566" w:type="dxa"/>
            <w:tcBorders>
              <w:top w:val="nil"/>
              <w:left w:val="nil"/>
              <w:bottom w:val="single" w:sz="4" w:space="0" w:color="auto"/>
              <w:right w:val="single" w:sz="4" w:space="0" w:color="auto"/>
            </w:tcBorders>
            <w:shd w:val="clear" w:color="auto" w:fill="auto"/>
            <w:hideMark/>
          </w:tcPr>
          <w:p w14:paraId="212D96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7E0F2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54522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4D84A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E5D2A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This long-term commitment to prime number research ensures that the insights gained and the resources developed during the project continue to fuel advancements in mathematics, computer science, and other related fields. The project serves as a catalyst for innovation and discovery in prime number theory and applications, shaping the future of mathematical research and computation.</w:t>
            </w:r>
          </w:p>
        </w:tc>
        <w:tc>
          <w:tcPr>
            <w:tcW w:w="2566" w:type="dxa"/>
            <w:tcBorders>
              <w:top w:val="nil"/>
              <w:left w:val="nil"/>
              <w:bottom w:val="single" w:sz="4" w:space="0" w:color="auto"/>
              <w:right w:val="single" w:sz="4" w:space="0" w:color="auto"/>
            </w:tcBorders>
            <w:shd w:val="clear" w:color="auto" w:fill="auto"/>
            <w:hideMark/>
          </w:tcPr>
          <w:p w14:paraId="6BD02DE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4D397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B18E8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993E1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Establishment of an Evolving Programming Committee:</w:t>
            </w:r>
          </w:p>
        </w:tc>
        <w:tc>
          <w:tcPr>
            <w:tcW w:w="6762" w:type="dxa"/>
            <w:tcBorders>
              <w:top w:val="nil"/>
              <w:left w:val="nil"/>
              <w:bottom w:val="single" w:sz="4" w:space="0" w:color="auto"/>
              <w:right w:val="single" w:sz="4" w:space="0" w:color="auto"/>
            </w:tcBorders>
            <w:shd w:val="clear" w:color="auto" w:fill="auto"/>
            <w:hideMark/>
          </w:tcPr>
          <w:p w14:paraId="62F0D87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CAC55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CA087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FA1EC4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F187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D501D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To ensure the sustainability and maintenance of PrimeBookOne platforms, the project aims to establish an evolving programming committee comprised of skilled developers and mathematicians. This committee is responsible for overseeing the ongoing development, maintenance, and governance of PrimeBookOne platforms, including updates, bug fixes, and feature enhancements.</w:t>
            </w:r>
          </w:p>
        </w:tc>
        <w:tc>
          <w:tcPr>
            <w:tcW w:w="2566" w:type="dxa"/>
            <w:tcBorders>
              <w:top w:val="nil"/>
              <w:left w:val="nil"/>
              <w:bottom w:val="single" w:sz="4" w:space="0" w:color="auto"/>
              <w:right w:val="single" w:sz="4" w:space="0" w:color="auto"/>
            </w:tcBorders>
            <w:shd w:val="clear" w:color="auto" w:fill="auto"/>
            <w:hideMark/>
          </w:tcPr>
          <w:p w14:paraId="7BB44BB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3ECF8F"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7B2CA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0480C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CD92F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fostering a collaborative and transparent development process, the programming committee ensures the integrity and reliability of PrimeBookOne platforms while promoting community engagement and participation. This long-term governance structure ensures that PrimeBookOne remains a valuable resource for prime number research and exploration for years to come.</w:t>
            </w:r>
          </w:p>
        </w:tc>
        <w:tc>
          <w:tcPr>
            <w:tcW w:w="2566" w:type="dxa"/>
            <w:tcBorders>
              <w:top w:val="nil"/>
              <w:left w:val="nil"/>
              <w:bottom w:val="single" w:sz="4" w:space="0" w:color="auto"/>
              <w:right w:val="single" w:sz="4" w:space="0" w:color="auto"/>
            </w:tcBorders>
            <w:shd w:val="clear" w:color="auto" w:fill="auto"/>
            <w:hideMark/>
          </w:tcPr>
          <w:p w14:paraId="5D8AB4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660CB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DAD7E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D942B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Marketing and Commercialization by Antikytherian Company:</w:t>
            </w:r>
          </w:p>
        </w:tc>
        <w:tc>
          <w:tcPr>
            <w:tcW w:w="6762" w:type="dxa"/>
            <w:tcBorders>
              <w:top w:val="nil"/>
              <w:left w:val="nil"/>
              <w:bottom w:val="single" w:sz="4" w:space="0" w:color="auto"/>
              <w:right w:val="single" w:sz="4" w:space="0" w:color="auto"/>
            </w:tcBorders>
            <w:shd w:val="clear" w:color="auto" w:fill="auto"/>
            <w:hideMark/>
          </w:tcPr>
          <w:p w14:paraId="20E15C1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097CB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974BA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801C8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72F9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0C77B6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long-term vision includes the marketing and commercialization of PrimeBookOne Toolkit by Antikytherian Company, a leading provider of computational tools and software solutions. Through strategic partnerships and marketing initiatives, Antikytherian Company aims to promote PrimeBookOne Toolkit to a global audience of researchers, educators, and industry professionals.</w:t>
            </w:r>
          </w:p>
        </w:tc>
        <w:tc>
          <w:tcPr>
            <w:tcW w:w="2566" w:type="dxa"/>
            <w:tcBorders>
              <w:top w:val="nil"/>
              <w:left w:val="nil"/>
              <w:bottom w:val="single" w:sz="4" w:space="0" w:color="auto"/>
              <w:right w:val="single" w:sz="4" w:space="0" w:color="auto"/>
            </w:tcBorders>
            <w:shd w:val="clear" w:color="auto" w:fill="auto"/>
            <w:hideMark/>
          </w:tcPr>
          <w:p w14:paraId="6FD6B2D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8FC72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93D26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F8BDC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695576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leveraging Antikytherian Company's expertise in software development, marketing, and distribution, PrimeBookOne Toolkit reaches a wider audience and achieves broader impact in prime number research and application. This collaboration ensures the sustainability and scalability of PrimeBookOne platforms while providing users with cutting-edge computational tools and resources.</w:t>
            </w:r>
          </w:p>
        </w:tc>
        <w:tc>
          <w:tcPr>
            <w:tcW w:w="2566" w:type="dxa"/>
            <w:tcBorders>
              <w:top w:val="nil"/>
              <w:left w:val="nil"/>
              <w:bottom w:val="single" w:sz="4" w:space="0" w:color="auto"/>
              <w:right w:val="single" w:sz="4" w:space="0" w:color="auto"/>
            </w:tcBorders>
            <w:shd w:val="clear" w:color="auto" w:fill="auto"/>
            <w:hideMark/>
          </w:tcPr>
          <w:p w14:paraId="3A4607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60AB0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5D8453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E50AB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Integration with Data-On-Chip Foundries and Enhanced Data Processing:</w:t>
            </w:r>
          </w:p>
        </w:tc>
        <w:tc>
          <w:tcPr>
            <w:tcW w:w="6762" w:type="dxa"/>
            <w:tcBorders>
              <w:top w:val="nil"/>
              <w:left w:val="nil"/>
              <w:bottom w:val="single" w:sz="4" w:space="0" w:color="auto"/>
              <w:right w:val="single" w:sz="4" w:space="0" w:color="auto"/>
            </w:tcBorders>
            <w:shd w:val="clear" w:color="auto" w:fill="auto"/>
            <w:hideMark/>
          </w:tcPr>
          <w:p w14:paraId="31D96C0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12C0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B5C03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E8E99B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ACD23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09205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long-term vision includes the integration of PrimeBookOne platforms with data-on-chip foundries and existing system-on-chip (SoC) packages. By embedding prime number functionality into hardware components, such as processors and memory modules, the project aims to enhance data processing capabilities and accelerate computational tasks.</w:t>
            </w:r>
          </w:p>
        </w:tc>
        <w:tc>
          <w:tcPr>
            <w:tcW w:w="2566" w:type="dxa"/>
            <w:tcBorders>
              <w:top w:val="nil"/>
              <w:left w:val="nil"/>
              <w:bottom w:val="single" w:sz="4" w:space="0" w:color="auto"/>
              <w:right w:val="single" w:sz="4" w:space="0" w:color="auto"/>
            </w:tcBorders>
            <w:shd w:val="clear" w:color="auto" w:fill="auto"/>
            <w:hideMark/>
          </w:tcPr>
          <w:p w14:paraId="0D2A38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E77F4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29ACD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C5B0D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1E279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This integration enables efficient prime number computation and analysis directly within hardware, reducing latency and energy consumption associated with software-based approaches. By leveraging base primes and geometric principles, the project enhances data processing efficiency and enables new applications in areas such as artificial intelligence, signal processing, and scientific computing.</w:t>
            </w:r>
          </w:p>
        </w:tc>
        <w:tc>
          <w:tcPr>
            <w:tcW w:w="2566" w:type="dxa"/>
            <w:tcBorders>
              <w:top w:val="nil"/>
              <w:left w:val="nil"/>
              <w:bottom w:val="single" w:sz="4" w:space="0" w:color="auto"/>
              <w:right w:val="single" w:sz="4" w:space="0" w:color="auto"/>
            </w:tcBorders>
            <w:shd w:val="clear" w:color="auto" w:fill="auto"/>
            <w:hideMark/>
          </w:tcPr>
          <w:p w14:paraId="0DE088A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62EA2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10AB65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02D31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Open SDK and Incorporation into Device Operating Systems:</w:t>
            </w:r>
          </w:p>
        </w:tc>
        <w:tc>
          <w:tcPr>
            <w:tcW w:w="6762" w:type="dxa"/>
            <w:tcBorders>
              <w:top w:val="nil"/>
              <w:left w:val="nil"/>
              <w:bottom w:val="single" w:sz="4" w:space="0" w:color="auto"/>
              <w:right w:val="single" w:sz="4" w:space="0" w:color="auto"/>
            </w:tcBorders>
            <w:shd w:val="clear" w:color="auto" w:fill="auto"/>
            <w:hideMark/>
          </w:tcPr>
          <w:p w14:paraId="2E691A3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120337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7F7B7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CBE45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7247C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37FC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the long term, the project aims to provide an open software development kit (SDK) that enables developers to incorporate PrimeBookOne prime database into various programs and applications. This open SDK facilitates interoperability and compatibility with multiple software platforms, allowing PrimeBookOne functionality to be seamlessly integrated into diverse computing environments.</w:t>
            </w:r>
          </w:p>
        </w:tc>
        <w:tc>
          <w:tcPr>
            <w:tcW w:w="2566" w:type="dxa"/>
            <w:tcBorders>
              <w:top w:val="nil"/>
              <w:left w:val="nil"/>
              <w:bottom w:val="single" w:sz="4" w:space="0" w:color="auto"/>
              <w:right w:val="single" w:sz="4" w:space="0" w:color="auto"/>
            </w:tcBorders>
            <w:shd w:val="clear" w:color="auto" w:fill="auto"/>
            <w:hideMark/>
          </w:tcPr>
          <w:p w14:paraId="27E078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285B1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AAF93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BBE7C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B7A48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incorporating PrimeBookOne prime database into device operating systems, the project aims to democratize access to prime number research and applications on a global scale. Users can access prime number tools and resources directly within their devices, enabling new opportunities for scientific inquiry, mathematical exploration, and computational innovation.</w:t>
            </w:r>
          </w:p>
        </w:tc>
        <w:tc>
          <w:tcPr>
            <w:tcW w:w="2566" w:type="dxa"/>
            <w:tcBorders>
              <w:top w:val="nil"/>
              <w:left w:val="nil"/>
              <w:bottom w:val="single" w:sz="4" w:space="0" w:color="auto"/>
              <w:right w:val="single" w:sz="4" w:space="0" w:color="auto"/>
            </w:tcBorders>
            <w:shd w:val="clear" w:color="auto" w:fill="auto"/>
            <w:hideMark/>
          </w:tcPr>
          <w:p w14:paraId="73304D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A014B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A3AB38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05404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097F59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5A5ED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4D23B1"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0D4731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4C966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32A65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long-term vision for the PrimeBookOne Project encompasses ongoing prime number exploration, establishment of an evolving programming committee, marketing and commercialization by Antikytherian Company, integration with data-on-chip foundries, development of an open SDK, and incorporation into device operating systems. This comprehensive vision ensures the sustainability, scalability, and impact of PrimeBookOne platforms in advancing prime number research, collaboration, and application.</w:t>
            </w:r>
          </w:p>
        </w:tc>
        <w:tc>
          <w:tcPr>
            <w:tcW w:w="2566" w:type="dxa"/>
            <w:tcBorders>
              <w:top w:val="nil"/>
              <w:left w:val="nil"/>
              <w:bottom w:val="single" w:sz="4" w:space="0" w:color="auto"/>
              <w:right w:val="single" w:sz="4" w:space="0" w:color="auto"/>
            </w:tcBorders>
            <w:shd w:val="clear" w:color="auto" w:fill="auto"/>
            <w:hideMark/>
          </w:tcPr>
          <w:p w14:paraId="0A25196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B65A9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65F26E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63369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32292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76299E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C77454" w14:textId="77777777" w:rsidTr="0041317E">
        <w:trPr>
          <w:trHeight w:val="6624"/>
        </w:trPr>
        <w:tc>
          <w:tcPr>
            <w:tcW w:w="1349" w:type="dxa"/>
            <w:tcBorders>
              <w:top w:val="nil"/>
              <w:left w:val="single" w:sz="4" w:space="0" w:color="auto"/>
              <w:bottom w:val="single" w:sz="4" w:space="0" w:color="auto"/>
              <w:right w:val="single" w:sz="4" w:space="0" w:color="auto"/>
            </w:tcBorders>
            <w:shd w:val="clear" w:color="auto" w:fill="auto"/>
            <w:hideMark/>
          </w:tcPr>
          <w:p w14:paraId="1ABDB3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7AA60B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9. Alignment with Funding Goals: </w:t>
            </w:r>
          </w:p>
        </w:tc>
        <w:tc>
          <w:tcPr>
            <w:tcW w:w="6762" w:type="dxa"/>
            <w:tcBorders>
              <w:top w:val="nil"/>
              <w:left w:val="nil"/>
              <w:bottom w:val="single" w:sz="4" w:space="0" w:color="auto"/>
              <w:right w:val="single" w:sz="4" w:space="0" w:color="auto"/>
            </w:tcBorders>
            <w:shd w:val="clear" w:color="auto" w:fill="auto"/>
            <w:hideMark/>
          </w:tcPr>
          <w:p w14:paraId="4F03731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Highlight how the project goals and objectives align with the interests and priorities of potential funders. Emphasize the value proposition for backers and how their contributions will directly support the project's objectives and impact.</w:t>
            </w:r>
          </w:p>
        </w:tc>
        <w:tc>
          <w:tcPr>
            <w:tcW w:w="2566" w:type="dxa"/>
            <w:tcBorders>
              <w:top w:val="nil"/>
              <w:left w:val="nil"/>
              <w:bottom w:val="single" w:sz="4" w:space="0" w:color="auto"/>
              <w:right w:val="single" w:sz="4" w:space="0" w:color="auto"/>
            </w:tcBorders>
            <w:shd w:val="clear" w:color="auto" w:fill="auto"/>
            <w:hideMark/>
          </w:tcPr>
          <w:p w14:paraId="526383E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Goal to gain interest in earning prime find certificates with computer open-time. Goal to have a giant database of prime-finds to compress data tighter and more efficiently. Goal to transmit multi-media data efficiently.  Goal to create exchange for prime proof-of-find certificates. Rearch ecample potential funders and backers such as...... Research business and education institutions that can contribute to the primebook by running it on their servers and clouds. For enthusiasts the fact that they would be early adopters and support a comming technology.</w:t>
            </w:r>
          </w:p>
        </w:tc>
      </w:tr>
      <w:tr w:rsidR="0041317E" w:rsidRPr="0041317E" w14:paraId="21FB706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4C6A4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A8DC8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21637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Highlighting how the project goals and objectives align with the interests and priorities of potential funders is crucial for attracting support and investment. Here's an in-depth exploration of how the PrimeBookOne Project aligns with funding goals and offers value propositions for backers:</w:t>
            </w:r>
          </w:p>
        </w:tc>
        <w:tc>
          <w:tcPr>
            <w:tcW w:w="2566" w:type="dxa"/>
            <w:tcBorders>
              <w:top w:val="nil"/>
              <w:left w:val="nil"/>
              <w:bottom w:val="single" w:sz="4" w:space="0" w:color="auto"/>
              <w:right w:val="single" w:sz="4" w:space="0" w:color="auto"/>
            </w:tcBorders>
            <w:shd w:val="clear" w:color="auto" w:fill="auto"/>
            <w:hideMark/>
          </w:tcPr>
          <w:p w14:paraId="7BF285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20C41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6151A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B6F6A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Interest in Earning Prime Find Certificates:</w:t>
            </w:r>
          </w:p>
        </w:tc>
        <w:tc>
          <w:tcPr>
            <w:tcW w:w="6762" w:type="dxa"/>
            <w:tcBorders>
              <w:top w:val="nil"/>
              <w:left w:val="nil"/>
              <w:bottom w:val="single" w:sz="4" w:space="0" w:color="auto"/>
              <w:right w:val="single" w:sz="4" w:space="0" w:color="auto"/>
            </w:tcBorders>
            <w:shd w:val="clear" w:color="auto" w:fill="auto"/>
            <w:hideMark/>
          </w:tcPr>
          <w:p w14:paraId="3022190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25D9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C889B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E10936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F3D4D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38669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goal to gain interest in earning prime find certificates with computer open-time aligns with the interests of potential funders who are passionate about mathematics, cryptography, and computational research. By incentivizing prime number discovery through certificates, the project fosters a community of researchers, enthusiasts, and contributors who actively participate in prime number exploration.</w:t>
            </w:r>
          </w:p>
        </w:tc>
        <w:tc>
          <w:tcPr>
            <w:tcW w:w="2566" w:type="dxa"/>
            <w:tcBorders>
              <w:top w:val="nil"/>
              <w:left w:val="nil"/>
              <w:bottom w:val="single" w:sz="4" w:space="0" w:color="auto"/>
              <w:right w:val="single" w:sz="4" w:space="0" w:color="auto"/>
            </w:tcBorders>
            <w:shd w:val="clear" w:color="auto" w:fill="auto"/>
            <w:hideMark/>
          </w:tcPr>
          <w:p w14:paraId="6BC565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7E6E64"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E58AA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9087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B58A0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Potential funders who value innovation, scientific discovery, and community engagement are likely to support initiatives that promote collaborative research and incentivize contributions to mathematical knowledge. By offering prime find certificates as rewards for computational efforts, the project attracts backers who are eager to contribute to the advancement of prime number research and applications.</w:t>
            </w:r>
          </w:p>
        </w:tc>
        <w:tc>
          <w:tcPr>
            <w:tcW w:w="2566" w:type="dxa"/>
            <w:tcBorders>
              <w:top w:val="nil"/>
              <w:left w:val="nil"/>
              <w:bottom w:val="single" w:sz="4" w:space="0" w:color="auto"/>
              <w:right w:val="single" w:sz="4" w:space="0" w:color="auto"/>
            </w:tcBorders>
            <w:shd w:val="clear" w:color="auto" w:fill="auto"/>
            <w:hideMark/>
          </w:tcPr>
          <w:p w14:paraId="607CF2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C5776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15DC53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630B5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Creation of a Giant Database of Prime Finds for Data Compression:</w:t>
            </w:r>
          </w:p>
        </w:tc>
        <w:tc>
          <w:tcPr>
            <w:tcW w:w="6762" w:type="dxa"/>
            <w:tcBorders>
              <w:top w:val="nil"/>
              <w:left w:val="nil"/>
              <w:bottom w:val="single" w:sz="4" w:space="0" w:color="auto"/>
              <w:right w:val="single" w:sz="4" w:space="0" w:color="auto"/>
            </w:tcBorders>
            <w:shd w:val="clear" w:color="auto" w:fill="auto"/>
            <w:hideMark/>
          </w:tcPr>
          <w:p w14:paraId="33B621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3E8D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14C9C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9818E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4FD1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1E0CE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goal to have a giant database of prime finds to compress data tighter and more efficiently appeals to potential funders who are interested in data science, information technology, and computational efficiency. Prime numbers play a crucial role in data compression algorithms, where prime factors are used to reduce file sizes and optimize data storage and transmission.</w:t>
            </w:r>
          </w:p>
        </w:tc>
        <w:tc>
          <w:tcPr>
            <w:tcW w:w="2566" w:type="dxa"/>
            <w:tcBorders>
              <w:top w:val="nil"/>
              <w:left w:val="nil"/>
              <w:bottom w:val="single" w:sz="4" w:space="0" w:color="auto"/>
              <w:right w:val="single" w:sz="4" w:space="0" w:color="auto"/>
            </w:tcBorders>
            <w:shd w:val="clear" w:color="auto" w:fill="auto"/>
            <w:hideMark/>
          </w:tcPr>
          <w:p w14:paraId="32E108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7153B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E8CC39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3911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50611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prioritize technological innovation, optimization, and resource efficiency recognize the value of a comprehensive database of prime finds for enhancing data compression techniques. By supporting the creation and maintenance of such a database, backers contribute to advancements in data science, telecommunications, and digital media industries.</w:t>
            </w:r>
          </w:p>
        </w:tc>
        <w:tc>
          <w:tcPr>
            <w:tcW w:w="2566" w:type="dxa"/>
            <w:tcBorders>
              <w:top w:val="nil"/>
              <w:left w:val="nil"/>
              <w:bottom w:val="single" w:sz="4" w:space="0" w:color="auto"/>
              <w:right w:val="single" w:sz="4" w:space="0" w:color="auto"/>
            </w:tcBorders>
            <w:shd w:val="clear" w:color="auto" w:fill="auto"/>
            <w:hideMark/>
          </w:tcPr>
          <w:p w14:paraId="2FAA685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37659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1A4FD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9EF56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Efficient Transmission of Multimedia Data:</w:t>
            </w:r>
          </w:p>
        </w:tc>
        <w:tc>
          <w:tcPr>
            <w:tcW w:w="6762" w:type="dxa"/>
            <w:tcBorders>
              <w:top w:val="nil"/>
              <w:left w:val="nil"/>
              <w:bottom w:val="single" w:sz="4" w:space="0" w:color="auto"/>
              <w:right w:val="single" w:sz="4" w:space="0" w:color="auto"/>
            </w:tcBorders>
            <w:shd w:val="clear" w:color="auto" w:fill="auto"/>
            <w:hideMark/>
          </w:tcPr>
          <w:p w14:paraId="4A39C76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A2FF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39FD4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D403DB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8CB82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58170C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goal to transmit multimedia data efficiently resonates with potential funders who are involved in telecommunications, networking, and digital content delivery. Prime numbers are utilized in encoding and encryption schemes for multimedia data, where efficient transmission and secure communication are paramount.</w:t>
            </w:r>
          </w:p>
        </w:tc>
        <w:tc>
          <w:tcPr>
            <w:tcW w:w="2566" w:type="dxa"/>
            <w:tcBorders>
              <w:top w:val="nil"/>
              <w:left w:val="nil"/>
              <w:bottom w:val="single" w:sz="4" w:space="0" w:color="auto"/>
              <w:right w:val="single" w:sz="4" w:space="0" w:color="auto"/>
            </w:tcBorders>
            <w:shd w:val="clear" w:color="auto" w:fill="auto"/>
            <w:hideMark/>
          </w:tcPr>
          <w:p w14:paraId="71CF8B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847A7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5B6E94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2144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601D6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seek to improve network performance, reduce latency, and enhance data security recognize the importance of leveraging prime number properties for efficient multimedia data transmission. By supporting research and development efforts in this area, backers contribute to advancements in communication technologies and digital infrastructure.</w:t>
            </w:r>
          </w:p>
        </w:tc>
        <w:tc>
          <w:tcPr>
            <w:tcW w:w="2566" w:type="dxa"/>
            <w:tcBorders>
              <w:top w:val="nil"/>
              <w:left w:val="nil"/>
              <w:bottom w:val="single" w:sz="4" w:space="0" w:color="auto"/>
              <w:right w:val="single" w:sz="4" w:space="0" w:color="auto"/>
            </w:tcBorders>
            <w:shd w:val="clear" w:color="auto" w:fill="auto"/>
            <w:hideMark/>
          </w:tcPr>
          <w:p w14:paraId="5A542E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3C08C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75BBD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8DBB7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Creation of Exchange for Prime Proof-of-Find Certificates:</w:t>
            </w:r>
          </w:p>
        </w:tc>
        <w:tc>
          <w:tcPr>
            <w:tcW w:w="6762" w:type="dxa"/>
            <w:tcBorders>
              <w:top w:val="nil"/>
              <w:left w:val="nil"/>
              <w:bottom w:val="single" w:sz="4" w:space="0" w:color="auto"/>
              <w:right w:val="single" w:sz="4" w:space="0" w:color="auto"/>
            </w:tcBorders>
            <w:shd w:val="clear" w:color="auto" w:fill="auto"/>
            <w:hideMark/>
          </w:tcPr>
          <w:p w14:paraId="795CA0A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18C5F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F0105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729D4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C13F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A707F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goal to create an exchange for prime proof-of-find certificates appeals to potential funders who are interested in blockchain technology, decentralized finance, and digital asset markets. Prime proof-of-find certificates represent unique cryptographic tokens that validate prime number discoveries and can be exchanged or traded on a decentralized platform.</w:t>
            </w:r>
          </w:p>
        </w:tc>
        <w:tc>
          <w:tcPr>
            <w:tcW w:w="2566" w:type="dxa"/>
            <w:tcBorders>
              <w:top w:val="nil"/>
              <w:left w:val="nil"/>
              <w:bottom w:val="single" w:sz="4" w:space="0" w:color="auto"/>
              <w:right w:val="single" w:sz="4" w:space="0" w:color="auto"/>
            </w:tcBorders>
            <w:shd w:val="clear" w:color="auto" w:fill="auto"/>
            <w:hideMark/>
          </w:tcPr>
          <w:p w14:paraId="0CE9DDD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BA8CA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EAEC86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4AA3C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7A1F6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are early adopters of blockchain technology, cryptocurrency enthusiasts, and advocates for decentralized systems recognize the potential value of prime proof-of-find certificates as digital assets with intrinsic mathematical significance. By supporting the development of a prime certificate exchange, backers contribute to the growth and adoption of blockchain-based solutions and mathematical cryptography.</w:t>
            </w:r>
          </w:p>
        </w:tc>
        <w:tc>
          <w:tcPr>
            <w:tcW w:w="2566" w:type="dxa"/>
            <w:tcBorders>
              <w:top w:val="nil"/>
              <w:left w:val="nil"/>
              <w:bottom w:val="single" w:sz="4" w:space="0" w:color="auto"/>
              <w:right w:val="single" w:sz="4" w:space="0" w:color="auto"/>
            </w:tcBorders>
            <w:shd w:val="clear" w:color="auto" w:fill="auto"/>
            <w:hideMark/>
          </w:tcPr>
          <w:p w14:paraId="7C12790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75F4D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EB31E5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A0B01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Research Examples of Potential Funders and Backers:</w:t>
            </w:r>
          </w:p>
        </w:tc>
        <w:tc>
          <w:tcPr>
            <w:tcW w:w="6762" w:type="dxa"/>
            <w:tcBorders>
              <w:top w:val="nil"/>
              <w:left w:val="nil"/>
              <w:bottom w:val="single" w:sz="4" w:space="0" w:color="auto"/>
              <w:right w:val="single" w:sz="4" w:space="0" w:color="auto"/>
            </w:tcBorders>
            <w:shd w:val="clear" w:color="auto" w:fill="auto"/>
            <w:hideMark/>
          </w:tcPr>
          <w:p w14:paraId="778F9E1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BB0EC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2547C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13E6CB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DE74E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38F2B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Business and educational institutions are potential funders and backers who can contribute to the PrimeBookOne Project by running it on their servers and cloud infrastructure. These institutions benefit from access to prime number research tools and resources, which enhance their computational capabilities and support academic research and innovation.</w:t>
            </w:r>
          </w:p>
        </w:tc>
        <w:tc>
          <w:tcPr>
            <w:tcW w:w="2566" w:type="dxa"/>
            <w:tcBorders>
              <w:top w:val="nil"/>
              <w:left w:val="nil"/>
              <w:bottom w:val="single" w:sz="4" w:space="0" w:color="auto"/>
              <w:right w:val="single" w:sz="4" w:space="0" w:color="auto"/>
            </w:tcBorders>
            <w:shd w:val="clear" w:color="auto" w:fill="auto"/>
            <w:hideMark/>
          </w:tcPr>
          <w:p w14:paraId="32C3C3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FAF38E"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003EC6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5015F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67D66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Enthusiasts are also potential backers who are attracted to the opportunity to become early adopters of emerging technology and support a community-driven project with significant mathematical and scientific implications. By contributing to the PrimeBookOne Project, enthusiasts gain access to cutting-edge research tools, participate in prime number exploration, and contribute to the advancement of mathematical knowledge.</w:t>
            </w:r>
          </w:p>
        </w:tc>
        <w:tc>
          <w:tcPr>
            <w:tcW w:w="2566" w:type="dxa"/>
            <w:tcBorders>
              <w:top w:val="nil"/>
              <w:left w:val="nil"/>
              <w:bottom w:val="single" w:sz="4" w:space="0" w:color="auto"/>
              <w:right w:val="single" w:sz="4" w:space="0" w:color="auto"/>
            </w:tcBorders>
            <w:shd w:val="clear" w:color="auto" w:fill="auto"/>
            <w:hideMark/>
          </w:tcPr>
          <w:p w14:paraId="54986F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28C4A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45E73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853C0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05BA52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DC1B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950CBD" w14:textId="77777777" w:rsidTr="0041317E">
        <w:trPr>
          <w:trHeight w:val="3744"/>
        </w:trPr>
        <w:tc>
          <w:tcPr>
            <w:tcW w:w="1349" w:type="dxa"/>
            <w:tcBorders>
              <w:top w:val="nil"/>
              <w:left w:val="single" w:sz="4" w:space="0" w:color="auto"/>
              <w:bottom w:val="single" w:sz="4" w:space="0" w:color="auto"/>
              <w:right w:val="single" w:sz="4" w:space="0" w:color="auto"/>
            </w:tcBorders>
            <w:shd w:val="clear" w:color="auto" w:fill="auto"/>
            <w:hideMark/>
          </w:tcPr>
          <w:p w14:paraId="580D9E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98A1E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8806E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PrimeBookOne Project offers compelling value propositions for potential funders and backers by aligning with their interests, priorities, and values. Through goals such as incentivizing prime number discovery, creating a comprehensive database for data compression, enabling efficient multimedia data transmission, and facilitating the exchange of prime proof-of-find certificates, the project attracts support from individuals, institutions, and organizations who recognize the importance of prime numbers in mathematics, cryptography, and computational research. By highlighting the alignment between funding goals and project objectives, the PrimeBookOne Project attracts a diverse range of supporters who contribute to its success and impact.</w:t>
            </w:r>
          </w:p>
        </w:tc>
        <w:tc>
          <w:tcPr>
            <w:tcW w:w="2566" w:type="dxa"/>
            <w:tcBorders>
              <w:top w:val="nil"/>
              <w:left w:val="nil"/>
              <w:bottom w:val="single" w:sz="4" w:space="0" w:color="auto"/>
              <w:right w:val="single" w:sz="4" w:space="0" w:color="auto"/>
            </w:tcBorders>
            <w:shd w:val="clear" w:color="auto" w:fill="auto"/>
            <w:hideMark/>
          </w:tcPr>
          <w:p w14:paraId="147D28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7096B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11664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18C6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7F43F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55F34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0B7DA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A529D8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71527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7503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01184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CD289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2E0CA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C9931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41BEF8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EC208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B98027"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1D9BCA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7CA720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10. Flexibility and Adaptability: </w:t>
            </w:r>
          </w:p>
        </w:tc>
        <w:tc>
          <w:tcPr>
            <w:tcW w:w="6762" w:type="dxa"/>
            <w:tcBorders>
              <w:top w:val="nil"/>
              <w:left w:val="nil"/>
              <w:bottom w:val="single" w:sz="4" w:space="0" w:color="auto"/>
              <w:right w:val="single" w:sz="4" w:space="0" w:color="auto"/>
            </w:tcBorders>
            <w:shd w:val="clear" w:color="auto" w:fill="auto"/>
            <w:hideMark/>
          </w:tcPr>
          <w:p w14:paraId="32862D9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Acknowledge the potential for adjustments to the project goals and objectives based on evolving research findings, feedback from stakeholders, or unexpected challenges. Demonstrate the project team's readiness to adapt and optimize strategies to maximize the project's success.</w:t>
            </w:r>
          </w:p>
        </w:tc>
        <w:tc>
          <w:tcPr>
            <w:tcW w:w="2566" w:type="dxa"/>
            <w:tcBorders>
              <w:top w:val="nil"/>
              <w:left w:val="nil"/>
              <w:bottom w:val="single" w:sz="4" w:space="0" w:color="auto"/>
              <w:right w:val="single" w:sz="4" w:space="0" w:color="auto"/>
            </w:tcBorders>
            <w:shd w:val="clear" w:color="auto" w:fill="auto"/>
            <w:hideMark/>
          </w:tcPr>
          <w:p w14:paraId="608F54E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Being open minded is what the project is about.  Creating a freely accessible database of prime difference is the key.  From there creating a second application to utilize this database would also allow other programming teams to also utilize the data-base without any need to update the Database bulding program when there are tool updates.  Also the marketable features of the tools are also the copywriteable aspects of the parallel projects.  Stakeholders such as educational and business institutions would perhaps request a discount on the use of the prime-tools as 'stock' in a sense holders that are given discounts, prepurchases, early-adopter donors for supporting the Antikytherian PrimeBookOne Open DataBase Project.  Working with stakeholders to determine if the Ethusiast Toolkit is Free while the Business Educational is Paid.  To create a subscription service, a site-license service, an operating system wide 20 year license.  Many options to work with those that are directly involved to decide and build a committee to keep the PrimeBookOne project alive and the business Antikytherian to build the toolkit to utilize this database for enhanced computing.</w:t>
            </w:r>
          </w:p>
        </w:tc>
      </w:tr>
      <w:tr w:rsidR="0041317E" w:rsidRPr="0041317E" w14:paraId="4F7F9F7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8764E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B357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202C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Acknowledging the potential for adjustments to the project goals and objectives based on evolving research findings, stakeholder feedback, and unexpected challenges is crucial for ensuring the project's success and sustainability. Here's an in-depth exploration of how the PrimeBookOne Project demonstrates flexibility and adaptability:</w:t>
            </w:r>
          </w:p>
        </w:tc>
        <w:tc>
          <w:tcPr>
            <w:tcW w:w="2566" w:type="dxa"/>
            <w:tcBorders>
              <w:top w:val="nil"/>
              <w:left w:val="nil"/>
              <w:bottom w:val="single" w:sz="4" w:space="0" w:color="auto"/>
              <w:right w:val="single" w:sz="4" w:space="0" w:color="auto"/>
            </w:tcBorders>
            <w:shd w:val="clear" w:color="auto" w:fill="auto"/>
            <w:hideMark/>
          </w:tcPr>
          <w:p w14:paraId="6159DC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76D2E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E1666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66885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Open-Minded Approach to Project Development:</w:t>
            </w:r>
          </w:p>
        </w:tc>
        <w:tc>
          <w:tcPr>
            <w:tcW w:w="6762" w:type="dxa"/>
            <w:tcBorders>
              <w:top w:val="nil"/>
              <w:left w:val="nil"/>
              <w:bottom w:val="single" w:sz="4" w:space="0" w:color="auto"/>
              <w:right w:val="single" w:sz="4" w:space="0" w:color="auto"/>
            </w:tcBorders>
            <w:shd w:val="clear" w:color="auto" w:fill="auto"/>
            <w:hideMark/>
          </w:tcPr>
          <w:p w14:paraId="3489AE5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0F27B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63EE6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686BA5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A8940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344596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embraces an open-minded approach to project development, recognizing that flexibility and adaptability are essential for responding to evolving research findings and stakeholder needs. By maintaining a dynamic and iterative development process, the project team remains responsive to emerging opportunities and challenges in prime number research and applications.</w:t>
            </w:r>
          </w:p>
        </w:tc>
        <w:tc>
          <w:tcPr>
            <w:tcW w:w="2566" w:type="dxa"/>
            <w:tcBorders>
              <w:top w:val="nil"/>
              <w:left w:val="nil"/>
              <w:bottom w:val="single" w:sz="4" w:space="0" w:color="auto"/>
              <w:right w:val="single" w:sz="4" w:space="0" w:color="auto"/>
            </w:tcBorders>
            <w:shd w:val="clear" w:color="auto" w:fill="auto"/>
            <w:hideMark/>
          </w:tcPr>
          <w:p w14:paraId="502715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1B51D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2BDF92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0D14A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DF2F2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This open-minded approach fosters innovation, collaboration, and continuous improvement, allowing the project to evolve and grow over time. By soliciting feedback from stakeholders, researchers, and users, the project team identifies areas for improvement and optimization, ensuring that the project remains relevant and impactful in a rapidly changing technological landscape.</w:t>
            </w:r>
          </w:p>
        </w:tc>
        <w:tc>
          <w:tcPr>
            <w:tcW w:w="2566" w:type="dxa"/>
            <w:tcBorders>
              <w:top w:val="nil"/>
              <w:left w:val="nil"/>
              <w:bottom w:val="single" w:sz="4" w:space="0" w:color="auto"/>
              <w:right w:val="single" w:sz="4" w:space="0" w:color="auto"/>
            </w:tcBorders>
            <w:shd w:val="clear" w:color="auto" w:fill="auto"/>
            <w:hideMark/>
          </w:tcPr>
          <w:p w14:paraId="1221B4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5D334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D1E83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B28D1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Creation of a Freely Accessible Database of Prime Differences:</w:t>
            </w:r>
          </w:p>
        </w:tc>
        <w:tc>
          <w:tcPr>
            <w:tcW w:w="6762" w:type="dxa"/>
            <w:tcBorders>
              <w:top w:val="nil"/>
              <w:left w:val="nil"/>
              <w:bottom w:val="single" w:sz="4" w:space="0" w:color="auto"/>
              <w:right w:val="single" w:sz="4" w:space="0" w:color="auto"/>
            </w:tcBorders>
            <w:shd w:val="clear" w:color="auto" w:fill="auto"/>
            <w:hideMark/>
          </w:tcPr>
          <w:p w14:paraId="3ADB616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D339EB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DC676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2848E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5D585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12E66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cornerstone of the PrimeBookOne Project is the creation of a freely accessible database of prime differences, which serves as a valuable resource for researchers, educators, and enthusiasts worldwide. This database represents a dynamic repository of prime number knowledge, continually updated and refined based on new discoveries and research findings.</w:t>
            </w:r>
          </w:p>
        </w:tc>
        <w:tc>
          <w:tcPr>
            <w:tcW w:w="2566" w:type="dxa"/>
            <w:tcBorders>
              <w:top w:val="nil"/>
              <w:left w:val="nil"/>
              <w:bottom w:val="single" w:sz="4" w:space="0" w:color="auto"/>
              <w:right w:val="single" w:sz="4" w:space="0" w:color="auto"/>
            </w:tcBorders>
            <w:shd w:val="clear" w:color="auto" w:fill="auto"/>
            <w:hideMark/>
          </w:tcPr>
          <w:p w14:paraId="4A1D23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24FA8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47852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FF28A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5C6FDE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making the database freely accessible, the project fosters collaboration and knowledge sharing within the mathematical community, empowering researchers to explore new avenues of inquiry and innovation. The project team remains committed to maintaining the integrity and accessibility of the database, ensuring that it remains a valuable resource for prime number research and exploration.</w:t>
            </w:r>
          </w:p>
        </w:tc>
        <w:tc>
          <w:tcPr>
            <w:tcW w:w="2566" w:type="dxa"/>
            <w:tcBorders>
              <w:top w:val="nil"/>
              <w:left w:val="nil"/>
              <w:bottom w:val="single" w:sz="4" w:space="0" w:color="auto"/>
              <w:right w:val="single" w:sz="4" w:space="0" w:color="auto"/>
            </w:tcBorders>
            <w:shd w:val="clear" w:color="auto" w:fill="auto"/>
            <w:hideMark/>
          </w:tcPr>
          <w:p w14:paraId="5E06ACE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69A87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2AC059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5FC8C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Development of Versatile and Scalable Tools:</w:t>
            </w:r>
          </w:p>
        </w:tc>
        <w:tc>
          <w:tcPr>
            <w:tcW w:w="6762" w:type="dxa"/>
            <w:tcBorders>
              <w:top w:val="nil"/>
              <w:left w:val="nil"/>
              <w:bottom w:val="single" w:sz="4" w:space="0" w:color="auto"/>
              <w:right w:val="single" w:sz="4" w:space="0" w:color="auto"/>
            </w:tcBorders>
            <w:shd w:val="clear" w:color="auto" w:fill="auto"/>
            <w:hideMark/>
          </w:tcPr>
          <w:p w14:paraId="61A545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C67C1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5FBBF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771D3E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D9F3A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64CE6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addition to the database, the PrimeBookOne Project aims to develop versatile and scalable tools that leverage prime number data for computational enhancement and analysis. These tools are designed to be adaptable to various use cases and environments, allowing users to customize and optimize their computing experience based on their specific needs and preferences.</w:t>
            </w:r>
          </w:p>
        </w:tc>
        <w:tc>
          <w:tcPr>
            <w:tcW w:w="2566" w:type="dxa"/>
            <w:tcBorders>
              <w:top w:val="nil"/>
              <w:left w:val="nil"/>
              <w:bottom w:val="single" w:sz="4" w:space="0" w:color="auto"/>
              <w:right w:val="single" w:sz="4" w:space="0" w:color="auto"/>
            </w:tcBorders>
            <w:shd w:val="clear" w:color="auto" w:fill="auto"/>
            <w:hideMark/>
          </w:tcPr>
          <w:p w14:paraId="0E4FB1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A2437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DBA10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06941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6C409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prioritizing flexibility and scalability in tool development, the project team ensures that users can seamlessly integrate PrimeBookOne functionality into their existing workflows and applications. Whether it's data compression, cryptography, communication, or analysis, the PrimeBookOne toolkit offers a suite of tools that can be tailored to meet diverse computational requirements and objectives.</w:t>
            </w:r>
          </w:p>
        </w:tc>
        <w:tc>
          <w:tcPr>
            <w:tcW w:w="2566" w:type="dxa"/>
            <w:tcBorders>
              <w:top w:val="nil"/>
              <w:left w:val="nil"/>
              <w:bottom w:val="single" w:sz="4" w:space="0" w:color="auto"/>
              <w:right w:val="single" w:sz="4" w:space="0" w:color="auto"/>
            </w:tcBorders>
            <w:shd w:val="clear" w:color="auto" w:fill="auto"/>
            <w:hideMark/>
          </w:tcPr>
          <w:p w14:paraId="54F70C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ECF6D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002495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C3D7F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Collaboration with Stakeholders for Optimal Solutions:</w:t>
            </w:r>
          </w:p>
        </w:tc>
        <w:tc>
          <w:tcPr>
            <w:tcW w:w="6762" w:type="dxa"/>
            <w:tcBorders>
              <w:top w:val="nil"/>
              <w:left w:val="nil"/>
              <w:bottom w:val="single" w:sz="4" w:space="0" w:color="auto"/>
              <w:right w:val="single" w:sz="4" w:space="0" w:color="auto"/>
            </w:tcBorders>
            <w:shd w:val="clear" w:color="auto" w:fill="auto"/>
            <w:hideMark/>
          </w:tcPr>
          <w:p w14:paraId="5E41A86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E7491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C6769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3C6620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AAC0A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DAD2C3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actively collaborates with stakeholders, including educational and business institutions, to identify optimal solutions and strategies for maximizing the project's impact and success. By engaging stakeholders in decision-making processes, the project team gains valuable insights and perspectives that inform project direction and priorities.</w:t>
            </w:r>
          </w:p>
        </w:tc>
        <w:tc>
          <w:tcPr>
            <w:tcW w:w="2566" w:type="dxa"/>
            <w:tcBorders>
              <w:top w:val="nil"/>
              <w:left w:val="nil"/>
              <w:bottom w:val="single" w:sz="4" w:space="0" w:color="auto"/>
              <w:right w:val="single" w:sz="4" w:space="0" w:color="auto"/>
            </w:tcBorders>
            <w:shd w:val="clear" w:color="auto" w:fill="auto"/>
            <w:hideMark/>
          </w:tcPr>
          <w:p w14:paraId="278635B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6F8A5E"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2BFFD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61B43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14C8E3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Stakeholders such as educational institutions may request discounts or special arrangements for accessing PrimeBookOne tools and resources, while business partners may seek opportunities for collaboration and co-development. By working closely with stakeholders, the project team ensures that the project remains responsive to the needs and interests of its diverse user base, fostering a sense of ownership and investment in the project's success.</w:t>
            </w:r>
          </w:p>
        </w:tc>
        <w:tc>
          <w:tcPr>
            <w:tcW w:w="2566" w:type="dxa"/>
            <w:tcBorders>
              <w:top w:val="nil"/>
              <w:left w:val="nil"/>
              <w:bottom w:val="single" w:sz="4" w:space="0" w:color="auto"/>
              <w:right w:val="single" w:sz="4" w:space="0" w:color="auto"/>
            </w:tcBorders>
            <w:shd w:val="clear" w:color="auto" w:fill="auto"/>
            <w:hideMark/>
          </w:tcPr>
          <w:p w14:paraId="10F85F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92C00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91BFD3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CEAC6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0B8E1C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FBB75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4C1586"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09DE032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2B6F2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E549E7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PrimeBookOne Project exemplifies flexibility and adaptability in its approach to project development, recognizing the importance of responding to evolving research findings, stakeholder feedback, and unexpected challenges. By maintaining an open-minded approach, creating a freely accessible database of prime differences, developing versatile and scalable tools, and collaborating with stakeholders for optimal solutions, the project ensures its relevance, sustainability, and impact in the field of prime number research and applications.</w:t>
            </w:r>
          </w:p>
        </w:tc>
        <w:tc>
          <w:tcPr>
            <w:tcW w:w="2566" w:type="dxa"/>
            <w:tcBorders>
              <w:top w:val="nil"/>
              <w:left w:val="nil"/>
              <w:bottom w:val="single" w:sz="4" w:space="0" w:color="auto"/>
              <w:right w:val="single" w:sz="4" w:space="0" w:color="auto"/>
            </w:tcBorders>
            <w:shd w:val="clear" w:color="auto" w:fill="auto"/>
            <w:hideMark/>
          </w:tcPr>
          <w:p w14:paraId="5F4FE68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CD56E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CE283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EB270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45503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E2461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E7562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48BB0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2. Goals and Objectives: </w:t>
            </w:r>
          </w:p>
        </w:tc>
        <w:tc>
          <w:tcPr>
            <w:tcW w:w="2363" w:type="dxa"/>
            <w:tcBorders>
              <w:top w:val="nil"/>
              <w:left w:val="nil"/>
              <w:bottom w:val="single" w:sz="4" w:space="0" w:color="auto"/>
              <w:right w:val="single" w:sz="4" w:space="0" w:color="auto"/>
            </w:tcBorders>
            <w:shd w:val="clear" w:color="auto" w:fill="auto"/>
            <w:hideMark/>
          </w:tcPr>
          <w:p w14:paraId="4DF6CE9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11. Conclusion: </w:t>
            </w:r>
          </w:p>
        </w:tc>
        <w:tc>
          <w:tcPr>
            <w:tcW w:w="6762" w:type="dxa"/>
            <w:tcBorders>
              <w:top w:val="nil"/>
              <w:left w:val="nil"/>
              <w:bottom w:val="single" w:sz="4" w:space="0" w:color="auto"/>
              <w:right w:val="single" w:sz="4" w:space="0" w:color="auto"/>
            </w:tcBorders>
            <w:shd w:val="clear" w:color="auto" w:fill="auto"/>
            <w:hideMark/>
          </w:tcPr>
          <w:p w14:paraId="10604A2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By defining clear goals, objectives, and milestones, potential funders will have a comprehensive understanding of what their contributions will support and the impact the project aims to achieve in the field of prime number theory.</w:t>
            </w:r>
          </w:p>
        </w:tc>
        <w:tc>
          <w:tcPr>
            <w:tcW w:w="2566" w:type="dxa"/>
            <w:tcBorders>
              <w:top w:val="nil"/>
              <w:left w:val="nil"/>
              <w:bottom w:val="single" w:sz="4" w:space="0" w:color="auto"/>
              <w:right w:val="single" w:sz="4" w:space="0" w:color="auto"/>
            </w:tcBorders>
            <w:shd w:val="clear" w:color="auto" w:fill="auto"/>
            <w:hideMark/>
          </w:tcPr>
          <w:p w14:paraId="590A79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DAF22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2E09D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049C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04BBF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Defining clear goals, objectives, and milestones is essential for providing potential funders with a comprehensive understanding of what their contributions will support and the impact the project aims to achieve in the field of prime number theory. Here's an in-depth exploration of how the PrimeBookOne Project's conclusion summarizes its goals and objectives:</w:t>
            </w:r>
          </w:p>
        </w:tc>
        <w:tc>
          <w:tcPr>
            <w:tcW w:w="2566" w:type="dxa"/>
            <w:tcBorders>
              <w:top w:val="nil"/>
              <w:left w:val="nil"/>
              <w:bottom w:val="single" w:sz="4" w:space="0" w:color="auto"/>
              <w:right w:val="single" w:sz="4" w:space="0" w:color="auto"/>
            </w:tcBorders>
            <w:shd w:val="clear" w:color="auto" w:fill="auto"/>
            <w:hideMark/>
          </w:tcPr>
          <w:p w14:paraId="7AAAB4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1DDD9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787CA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65348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Comprehensive Understanding for Potential Funders:</w:t>
            </w:r>
          </w:p>
        </w:tc>
        <w:tc>
          <w:tcPr>
            <w:tcW w:w="6762" w:type="dxa"/>
            <w:tcBorders>
              <w:top w:val="nil"/>
              <w:left w:val="nil"/>
              <w:bottom w:val="single" w:sz="4" w:space="0" w:color="auto"/>
              <w:right w:val="single" w:sz="4" w:space="0" w:color="auto"/>
            </w:tcBorders>
            <w:shd w:val="clear" w:color="auto" w:fill="auto"/>
            <w:hideMark/>
          </w:tcPr>
          <w:p w14:paraId="289C6D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42518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15EE1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ACA3F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E27A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7B5B0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conclusion of the PrimeBookOne Project aims to provide potential funders with a comprehensive understanding of the project's goals, objectives, and milestones. By summarizing the key components of the project's mission and vision, the conclusion reinforces the value proposition for funders and highlights the significance of their contributions.</w:t>
            </w:r>
          </w:p>
        </w:tc>
        <w:tc>
          <w:tcPr>
            <w:tcW w:w="2566" w:type="dxa"/>
            <w:tcBorders>
              <w:top w:val="nil"/>
              <w:left w:val="nil"/>
              <w:bottom w:val="single" w:sz="4" w:space="0" w:color="auto"/>
              <w:right w:val="single" w:sz="4" w:space="0" w:color="auto"/>
            </w:tcBorders>
            <w:shd w:val="clear" w:color="auto" w:fill="auto"/>
            <w:hideMark/>
          </w:tcPr>
          <w:p w14:paraId="396001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20B6E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B5C17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08762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A94F4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have a clear understanding of the project's goals, objectives, and milestones are more likely to be motivated to support the project financially. By articulating the project's impact and potential outcomes, the conclusion serves as a persuasive tool for engaging funders and securing their support for the project's endeavors.</w:t>
            </w:r>
          </w:p>
        </w:tc>
        <w:tc>
          <w:tcPr>
            <w:tcW w:w="2566" w:type="dxa"/>
            <w:tcBorders>
              <w:top w:val="nil"/>
              <w:left w:val="nil"/>
              <w:bottom w:val="single" w:sz="4" w:space="0" w:color="auto"/>
              <w:right w:val="single" w:sz="4" w:space="0" w:color="auto"/>
            </w:tcBorders>
            <w:shd w:val="clear" w:color="auto" w:fill="auto"/>
            <w:hideMark/>
          </w:tcPr>
          <w:p w14:paraId="3C52DE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620C7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C15EC7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1CCF8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Support for Prime Number Theory:</w:t>
            </w:r>
          </w:p>
        </w:tc>
        <w:tc>
          <w:tcPr>
            <w:tcW w:w="6762" w:type="dxa"/>
            <w:tcBorders>
              <w:top w:val="nil"/>
              <w:left w:val="nil"/>
              <w:bottom w:val="single" w:sz="4" w:space="0" w:color="auto"/>
              <w:right w:val="single" w:sz="4" w:space="0" w:color="auto"/>
            </w:tcBorders>
            <w:shd w:val="clear" w:color="auto" w:fill="auto"/>
            <w:hideMark/>
          </w:tcPr>
          <w:p w14:paraId="6C51EF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E6532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2E813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B853B6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448F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E4D538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conclusion emphasizes the project's commitment to advancing prime number theory through research, innovation, and collaboration. By defining clear goals and objectives, the project aims to contribute to the broader understanding of prime numbers and their applications in various fields, from mathematics and cryptography to computer science and data analysis.</w:t>
            </w:r>
          </w:p>
        </w:tc>
        <w:tc>
          <w:tcPr>
            <w:tcW w:w="2566" w:type="dxa"/>
            <w:tcBorders>
              <w:top w:val="nil"/>
              <w:left w:val="nil"/>
              <w:bottom w:val="single" w:sz="4" w:space="0" w:color="auto"/>
              <w:right w:val="single" w:sz="4" w:space="0" w:color="auto"/>
            </w:tcBorders>
            <w:shd w:val="clear" w:color="auto" w:fill="auto"/>
            <w:hideMark/>
          </w:tcPr>
          <w:p w14:paraId="278B75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424B16"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F2099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A5721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16BDC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are passionate about prime number theory and mathematical research recognize the importance of supporting projects like PrimeBookOne that aim to expand knowledge and push the boundaries of mathematical exploration. By investing in the project, funders become partners in the advancement of prime number theory and contribute to the collective pursuit of mathematical knowledge and discovery.</w:t>
            </w:r>
          </w:p>
        </w:tc>
        <w:tc>
          <w:tcPr>
            <w:tcW w:w="2566" w:type="dxa"/>
            <w:tcBorders>
              <w:top w:val="nil"/>
              <w:left w:val="nil"/>
              <w:bottom w:val="single" w:sz="4" w:space="0" w:color="auto"/>
              <w:right w:val="single" w:sz="4" w:space="0" w:color="auto"/>
            </w:tcBorders>
            <w:shd w:val="clear" w:color="auto" w:fill="auto"/>
            <w:hideMark/>
          </w:tcPr>
          <w:p w14:paraId="017AC0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D1B5C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3477F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E22F3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Transparency and Accountability:</w:t>
            </w:r>
          </w:p>
        </w:tc>
        <w:tc>
          <w:tcPr>
            <w:tcW w:w="6762" w:type="dxa"/>
            <w:tcBorders>
              <w:top w:val="nil"/>
              <w:left w:val="nil"/>
              <w:bottom w:val="single" w:sz="4" w:space="0" w:color="auto"/>
              <w:right w:val="single" w:sz="4" w:space="0" w:color="auto"/>
            </w:tcBorders>
            <w:shd w:val="clear" w:color="auto" w:fill="auto"/>
            <w:hideMark/>
          </w:tcPr>
          <w:p w14:paraId="183B8B0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528C0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C9CE1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436EA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DEA3C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D3E709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conclusion underscores the project's commitment to transparency and accountability in its use of funds and allocation of resources. By defining clear milestones and objectives, the project establishes a framework for measuring progress and evaluating success, ensuring that funders' contributions are used effectively and responsibly.</w:t>
            </w:r>
          </w:p>
        </w:tc>
        <w:tc>
          <w:tcPr>
            <w:tcW w:w="2566" w:type="dxa"/>
            <w:tcBorders>
              <w:top w:val="nil"/>
              <w:left w:val="nil"/>
              <w:bottom w:val="single" w:sz="4" w:space="0" w:color="auto"/>
              <w:right w:val="single" w:sz="4" w:space="0" w:color="auto"/>
            </w:tcBorders>
            <w:shd w:val="clear" w:color="auto" w:fill="auto"/>
            <w:hideMark/>
          </w:tcPr>
          <w:p w14:paraId="0F726C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319F2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FF403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447E3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AACA6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value transparency and accountability in philanthropic endeavors are reassured by the project's commitment to these principles. By providing regular updates and reports on project progress, the project fosters trust and confidence among funders, building long-term relationships based on mutual respect and shared goals.</w:t>
            </w:r>
          </w:p>
        </w:tc>
        <w:tc>
          <w:tcPr>
            <w:tcW w:w="2566" w:type="dxa"/>
            <w:tcBorders>
              <w:top w:val="nil"/>
              <w:left w:val="nil"/>
              <w:bottom w:val="single" w:sz="4" w:space="0" w:color="auto"/>
              <w:right w:val="single" w:sz="4" w:space="0" w:color="auto"/>
            </w:tcBorders>
            <w:shd w:val="clear" w:color="auto" w:fill="auto"/>
            <w:hideMark/>
          </w:tcPr>
          <w:p w14:paraId="402414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F27D8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1B35C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DF6A7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Long-Term Impact and Sustainability:</w:t>
            </w:r>
          </w:p>
        </w:tc>
        <w:tc>
          <w:tcPr>
            <w:tcW w:w="6762" w:type="dxa"/>
            <w:tcBorders>
              <w:top w:val="nil"/>
              <w:left w:val="nil"/>
              <w:bottom w:val="single" w:sz="4" w:space="0" w:color="auto"/>
              <w:right w:val="single" w:sz="4" w:space="0" w:color="auto"/>
            </w:tcBorders>
            <w:shd w:val="clear" w:color="auto" w:fill="auto"/>
            <w:hideMark/>
          </w:tcPr>
          <w:p w14:paraId="6E0427D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079C11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91592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6C697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BD8B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ACC57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Finally, the conclusion highlights the long-term impact and sustainability of the PrimeBookOne Project, emphasizing its potential to shape the future of prime number research and applications for years to come. By laying the groundwork for ongoing exploration and innovation, the project sets the stage for continued progress and discovery in prime number theory and computation.</w:t>
            </w:r>
          </w:p>
        </w:tc>
        <w:tc>
          <w:tcPr>
            <w:tcW w:w="2566" w:type="dxa"/>
            <w:tcBorders>
              <w:top w:val="nil"/>
              <w:left w:val="nil"/>
              <w:bottom w:val="single" w:sz="4" w:space="0" w:color="auto"/>
              <w:right w:val="single" w:sz="4" w:space="0" w:color="auto"/>
            </w:tcBorders>
            <w:shd w:val="clear" w:color="auto" w:fill="auto"/>
            <w:hideMark/>
          </w:tcPr>
          <w:p w14:paraId="0C1FD7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FBD1E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F1577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A840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B6E62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are interested in making a lasting impact on the field of mathematics and scientific research recognize the value of supporting projects with long-term vision and potential for sustainability. By investing in the PrimeBookOne Project, funders contribute to a legacy of excellence in prime number research and leave a lasting imprint on the mathematical landscape.</w:t>
            </w:r>
          </w:p>
        </w:tc>
        <w:tc>
          <w:tcPr>
            <w:tcW w:w="2566" w:type="dxa"/>
            <w:tcBorders>
              <w:top w:val="nil"/>
              <w:left w:val="nil"/>
              <w:bottom w:val="single" w:sz="4" w:space="0" w:color="auto"/>
              <w:right w:val="single" w:sz="4" w:space="0" w:color="auto"/>
            </w:tcBorders>
            <w:shd w:val="clear" w:color="auto" w:fill="auto"/>
            <w:hideMark/>
          </w:tcPr>
          <w:p w14:paraId="3DA8DB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756F6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B114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6AE8E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 as a Call to Action:</w:t>
            </w:r>
          </w:p>
        </w:tc>
        <w:tc>
          <w:tcPr>
            <w:tcW w:w="6762" w:type="dxa"/>
            <w:tcBorders>
              <w:top w:val="nil"/>
              <w:left w:val="nil"/>
              <w:bottom w:val="single" w:sz="4" w:space="0" w:color="auto"/>
              <w:right w:val="single" w:sz="4" w:space="0" w:color="auto"/>
            </w:tcBorders>
            <w:shd w:val="clear" w:color="auto" w:fill="auto"/>
            <w:hideMark/>
          </w:tcPr>
          <w:p w14:paraId="5874DCC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476E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4CBE3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D3E94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C8A96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17500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summary, the conclusion of the PrimeBookOne Project serves as a call to action for potential funders, inviting them to join the project's mission and contribute to its success. By defining clear goals, objectives, and milestones, the conclusion provides funders with a roadmap for how their contributions will make a difference in the field of prime number theory.</w:t>
            </w:r>
          </w:p>
        </w:tc>
        <w:tc>
          <w:tcPr>
            <w:tcW w:w="2566" w:type="dxa"/>
            <w:tcBorders>
              <w:top w:val="nil"/>
              <w:left w:val="nil"/>
              <w:bottom w:val="single" w:sz="4" w:space="0" w:color="auto"/>
              <w:right w:val="single" w:sz="4" w:space="0" w:color="auto"/>
            </w:tcBorders>
            <w:shd w:val="clear" w:color="auto" w:fill="auto"/>
            <w:hideMark/>
          </w:tcPr>
          <w:p w14:paraId="6664CE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A0158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F2B13C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A3CA6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97F7C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10A6A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EC580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367CE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6060D85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58445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Identify the target audience for the crowd funding campaign. This could include individuals interested in mathematics, education, scientific research, or technology enthusiasts.</w:t>
            </w:r>
          </w:p>
        </w:tc>
        <w:tc>
          <w:tcPr>
            <w:tcW w:w="2566" w:type="dxa"/>
            <w:tcBorders>
              <w:top w:val="nil"/>
              <w:left w:val="nil"/>
              <w:bottom w:val="single" w:sz="4" w:space="0" w:color="auto"/>
              <w:right w:val="single" w:sz="4" w:space="0" w:color="auto"/>
            </w:tcBorders>
            <w:shd w:val="clear" w:color="auto" w:fill="auto"/>
            <w:hideMark/>
          </w:tcPr>
          <w:p w14:paraId="1B422E0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8E590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9FAA33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6F54738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Mathematics Enthusiasts: </w:t>
            </w:r>
          </w:p>
        </w:tc>
        <w:tc>
          <w:tcPr>
            <w:tcW w:w="6762" w:type="dxa"/>
            <w:tcBorders>
              <w:top w:val="nil"/>
              <w:left w:val="nil"/>
              <w:bottom w:val="single" w:sz="4" w:space="0" w:color="auto"/>
              <w:right w:val="single" w:sz="4" w:space="0" w:color="auto"/>
            </w:tcBorders>
            <w:shd w:val="clear" w:color="auto" w:fill="auto"/>
            <w:hideMark/>
          </w:tcPr>
          <w:p w14:paraId="15E120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This group includes individuals with a passion for mathematics, including students, educators, mathematicians, and amateur mathematicians. They are likely to be interested in supporting projects that advance mathematical knowledge and tackle challenging problems in the field.</w:t>
            </w:r>
          </w:p>
        </w:tc>
        <w:tc>
          <w:tcPr>
            <w:tcW w:w="2566" w:type="dxa"/>
            <w:tcBorders>
              <w:top w:val="nil"/>
              <w:left w:val="nil"/>
              <w:bottom w:val="single" w:sz="4" w:space="0" w:color="auto"/>
              <w:right w:val="single" w:sz="4" w:space="0" w:color="auto"/>
            </w:tcBorders>
            <w:shd w:val="clear" w:color="auto" w:fill="auto"/>
            <w:hideMark/>
          </w:tcPr>
          <w:p w14:paraId="78AC28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F15E6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2FB611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C8F56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487ADA1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C0D79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4D70F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5BE3F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91153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John Conway: </w:t>
            </w:r>
          </w:p>
        </w:tc>
        <w:tc>
          <w:tcPr>
            <w:tcW w:w="6762" w:type="dxa"/>
            <w:tcBorders>
              <w:top w:val="nil"/>
              <w:left w:val="nil"/>
              <w:bottom w:val="single" w:sz="4" w:space="0" w:color="auto"/>
              <w:right w:val="single" w:sz="4" w:space="0" w:color="auto"/>
            </w:tcBorders>
            <w:shd w:val="clear" w:color="auto" w:fill="auto"/>
            <w:hideMark/>
          </w:tcPr>
          <w:p w14:paraId="5EE6ED2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Renowned mathematician known for his contributions to game theory, group theory, and recreational mathematics. Conway's work on the Game of Life and surreal numbers has inspired countless mathematics enthusiasts worldwide.</w:t>
            </w:r>
          </w:p>
        </w:tc>
        <w:tc>
          <w:tcPr>
            <w:tcW w:w="2566" w:type="dxa"/>
            <w:tcBorders>
              <w:top w:val="nil"/>
              <w:left w:val="nil"/>
              <w:bottom w:val="single" w:sz="4" w:space="0" w:color="auto"/>
              <w:right w:val="single" w:sz="4" w:space="0" w:color="auto"/>
            </w:tcBorders>
            <w:shd w:val="clear" w:color="auto" w:fill="auto"/>
            <w:hideMark/>
          </w:tcPr>
          <w:p w14:paraId="5C2541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8D2FA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1F2609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70133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Euler: </w:t>
            </w:r>
          </w:p>
        </w:tc>
        <w:tc>
          <w:tcPr>
            <w:tcW w:w="6762" w:type="dxa"/>
            <w:tcBorders>
              <w:top w:val="nil"/>
              <w:left w:val="nil"/>
              <w:bottom w:val="single" w:sz="4" w:space="0" w:color="auto"/>
              <w:right w:val="single" w:sz="4" w:space="0" w:color="auto"/>
            </w:tcBorders>
            <w:shd w:val="clear" w:color="auto" w:fill="auto"/>
            <w:hideMark/>
          </w:tcPr>
          <w:p w14:paraId="289DEBB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prolific mathematician whose contributions spanned numerous areas, including number theory, calculus, and graph theory. Euler's theorems and discoveries continue to fascinate and inspire mathematicians and enthusiasts alike.</w:t>
            </w:r>
          </w:p>
        </w:tc>
        <w:tc>
          <w:tcPr>
            <w:tcW w:w="2566" w:type="dxa"/>
            <w:tcBorders>
              <w:top w:val="nil"/>
              <w:left w:val="nil"/>
              <w:bottom w:val="single" w:sz="4" w:space="0" w:color="auto"/>
              <w:right w:val="single" w:sz="4" w:space="0" w:color="auto"/>
            </w:tcBorders>
            <w:shd w:val="clear" w:color="auto" w:fill="auto"/>
            <w:hideMark/>
          </w:tcPr>
          <w:p w14:paraId="4D6890F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EBA33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66962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E14F0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Vi Hart: </w:t>
            </w:r>
          </w:p>
        </w:tc>
        <w:tc>
          <w:tcPr>
            <w:tcW w:w="6762" w:type="dxa"/>
            <w:tcBorders>
              <w:top w:val="nil"/>
              <w:left w:val="nil"/>
              <w:bottom w:val="single" w:sz="4" w:space="0" w:color="auto"/>
              <w:right w:val="single" w:sz="4" w:space="0" w:color="auto"/>
            </w:tcBorders>
            <w:shd w:val="clear" w:color="auto" w:fill="auto"/>
            <w:hideMark/>
          </w:tcPr>
          <w:p w14:paraId="65A2704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popular YouTube personality known for her engaging videos on mathematics, art, and education. Hart's creative approach to mathematical concepts has attracted a large following of mathematics enthusiasts of all ages.</w:t>
            </w:r>
          </w:p>
        </w:tc>
        <w:tc>
          <w:tcPr>
            <w:tcW w:w="2566" w:type="dxa"/>
            <w:tcBorders>
              <w:top w:val="nil"/>
              <w:left w:val="nil"/>
              <w:bottom w:val="single" w:sz="4" w:space="0" w:color="auto"/>
              <w:right w:val="single" w:sz="4" w:space="0" w:color="auto"/>
            </w:tcBorders>
            <w:shd w:val="clear" w:color="auto" w:fill="auto"/>
            <w:hideMark/>
          </w:tcPr>
          <w:p w14:paraId="23BA23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2A07A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8E250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25C3F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5CDC7C6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19D5D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29ED7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074330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D5CD6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Students: </w:t>
            </w:r>
          </w:p>
        </w:tc>
        <w:tc>
          <w:tcPr>
            <w:tcW w:w="6762" w:type="dxa"/>
            <w:tcBorders>
              <w:top w:val="nil"/>
              <w:left w:val="nil"/>
              <w:bottom w:val="single" w:sz="4" w:space="0" w:color="auto"/>
              <w:right w:val="single" w:sz="4" w:space="0" w:color="auto"/>
            </w:tcBorders>
            <w:shd w:val="clear" w:color="auto" w:fill="auto"/>
            <w:hideMark/>
          </w:tcPr>
          <w:p w14:paraId="49360E6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Mathematics students at various levels, from high school to university, form a significant portion of the mathematics enthusiast audience. These students are eager to explore new concepts, solve challenging problems, and engage with the broader mathematical community.</w:t>
            </w:r>
          </w:p>
        </w:tc>
        <w:tc>
          <w:tcPr>
            <w:tcW w:w="2566" w:type="dxa"/>
            <w:tcBorders>
              <w:top w:val="nil"/>
              <w:left w:val="nil"/>
              <w:bottom w:val="single" w:sz="4" w:space="0" w:color="auto"/>
              <w:right w:val="single" w:sz="4" w:space="0" w:color="auto"/>
            </w:tcBorders>
            <w:shd w:val="clear" w:color="auto" w:fill="auto"/>
            <w:hideMark/>
          </w:tcPr>
          <w:p w14:paraId="39D2AC5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9964B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D884E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4383A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Educators: </w:t>
            </w:r>
          </w:p>
        </w:tc>
        <w:tc>
          <w:tcPr>
            <w:tcW w:w="6762" w:type="dxa"/>
            <w:tcBorders>
              <w:top w:val="nil"/>
              <w:left w:val="nil"/>
              <w:bottom w:val="single" w:sz="4" w:space="0" w:color="auto"/>
              <w:right w:val="single" w:sz="4" w:space="0" w:color="auto"/>
            </w:tcBorders>
            <w:shd w:val="clear" w:color="auto" w:fill="auto"/>
            <w:hideMark/>
          </w:tcPr>
          <w:p w14:paraId="461FA46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Mathematics educators, including teachers, professors, and tutors, are passionate about inspiring and educating the next generation of mathematicians. They are interested in projects that offer innovative teaching resources, curriculum materials, and professional development opportunities.</w:t>
            </w:r>
          </w:p>
        </w:tc>
        <w:tc>
          <w:tcPr>
            <w:tcW w:w="2566" w:type="dxa"/>
            <w:tcBorders>
              <w:top w:val="nil"/>
              <w:left w:val="nil"/>
              <w:bottom w:val="single" w:sz="4" w:space="0" w:color="auto"/>
              <w:right w:val="single" w:sz="4" w:space="0" w:color="auto"/>
            </w:tcBorders>
            <w:shd w:val="clear" w:color="auto" w:fill="auto"/>
            <w:hideMark/>
          </w:tcPr>
          <w:p w14:paraId="46F380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4E9FE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5B9B95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0817E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Mathematicians: </w:t>
            </w:r>
          </w:p>
        </w:tc>
        <w:tc>
          <w:tcPr>
            <w:tcW w:w="6762" w:type="dxa"/>
            <w:tcBorders>
              <w:top w:val="nil"/>
              <w:left w:val="nil"/>
              <w:bottom w:val="single" w:sz="4" w:space="0" w:color="auto"/>
              <w:right w:val="single" w:sz="4" w:space="0" w:color="auto"/>
            </w:tcBorders>
            <w:shd w:val="clear" w:color="auto" w:fill="auto"/>
            <w:hideMark/>
          </w:tcPr>
          <w:p w14:paraId="2E8A7FF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Professional mathematicians, researchers, and academics are at the forefront of mathematical exploration and discovery. They seek projects that push the boundaries of mathematical knowledge, address unsolved problems, and foster collaboration within the mathematical community.</w:t>
            </w:r>
          </w:p>
        </w:tc>
        <w:tc>
          <w:tcPr>
            <w:tcW w:w="2566" w:type="dxa"/>
            <w:tcBorders>
              <w:top w:val="nil"/>
              <w:left w:val="nil"/>
              <w:bottom w:val="single" w:sz="4" w:space="0" w:color="auto"/>
              <w:right w:val="single" w:sz="4" w:space="0" w:color="auto"/>
            </w:tcBorders>
            <w:shd w:val="clear" w:color="auto" w:fill="auto"/>
            <w:hideMark/>
          </w:tcPr>
          <w:p w14:paraId="125D03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2C999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4597A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B6F86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Amateur Mathematicians: </w:t>
            </w:r>
          </w:p>
        </w:tc>
        <w:tc>
          <w:tcPr>
            <w:tcW w:w="6762" w:type="dxa"/>
            <w:tcBorders>
              <w:top w:val="nil"/>
              <w:left w:val="nil"/>
              <w:bottom w:val="single" w:sz="4" w:space="0" w:color="auto"/>
              <w:right w:val="single" w:sz="4" w:space="0" w:color="auto"/>
            </w:tcBorders>
            <w:shd w:val="clear" w:color="auto" w:fill="auto"/>
            <w:hideMark/>
          </w:tcPr>
          <w:p w14:paraId="4164E16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Hobbyists and amateur mathematicians engage with mathematics out of personal interest and curiosity. They enjoy exploring recreational mathematics, solving puzzles, and discovering new patterns and phenomena in the mathematical world.</w:t>
            </w:r>
          </w:p>
        </w:tc>
        <w:tc>
          <w:tcPr>
            <w:tcW w:w="2566" w:type="dxa"/>
            <w:tcBorders>
              <w:top w:val="nil"/>
              <w:left w:val="nil"/>
              <w:bottom w:val="single" w:sz="4" w:space="0" w:color="auto"/>
              <w:right w:val="single" w:sz="4" w:space="0" w:color="auto"/>
            </w:tcBorders>
            <w:shd w:val="clear" w:color="auto" w:fill="auto"/>
            <w:hideMark/>
          </w:tcPr>
          <w:p w14:paraId="5628C5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431F1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B0DC9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FE706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Strategies:</w:t>
            </w:r>
          </w:p>
        </w:tc>
        <w:tc>
          <w:tcPr>
            <w:tcW w:w="6762" w:type="dxa"/>
            <w:tcBorders>
              <w:top w:val="nil"/>
              <w:left w:val="nil"/>
              <w:bottom w:val="single" w:sz="4" w:space="0" w:color="auto"/>
              <w:right w:val="single" w:sz="4" w:space="0" w:color="auto"/>
            </w:tcBorders>
            <w:shd w:val="clear" w:color="auto" w:fill="auto"/>
            <w:hideMark/>
          </w:tcPr>
          <w:p w14:paraId="3E2BCE2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18F9B3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A4588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30BB9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E972F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Educational Outreach: </w:t>
            </w:r>
          </w:p>
        </w:tc>
        <w:tc>
          <w:tcPr>
            <w:tcW w:w="6762" w:type="dxa"/>
            <w:tcBorders>
              <w:top w:val="nil"/>
              <w:left w:val="nil"/>
              <w:bottom w:val="single" w:sz="4" w:space="0" w:color="auto"/>
              <w:right w:val="single" w:sz="4" w:space="0" w:color="auto"/>
            </w:tcBorders>
            <w:shd w:val="clear" w:color="auto" w:fill="auto"/>
            <w:hideMark/>
          </w:tcPr>
          <w:p w14:paraId="1DEC902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workshops, seminars, and online courses to educate mathematics enthusiasts about the project's goals, objectives, and potential impact. Provide resources, such as lecture notes, problem sets, and interactive demonstrations, to facilitate learning and engagement.</w:t>
            </w:r>
          </w:p>
        </w:tc>
        <w:tc>
          <w:tcPr>
            <w:tcW w:w="2566" w:type="dxa"/>
            <w:tcBorders>
              <w:top w:val="nil"/>
              <w:left w:val="nil"/>
              <w:bottom w:val="single" w:sz="4" w:space="0" w:color="auto"/>
              <w:right w:val="single" w:sz="4" w:space="0" w:color="auto"/>
            </w:tcBorders>
            <w:shd w:val="clear" w:color="auto" w:fill="auto"/>
            <w:hideMark/>
          </w:tcPr>
          <w:p w14:paraId="1763E0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09F51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4E645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15AF8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Events: </w:t>
            </w:r>
          </w:p>
        </w:tc>
        <w:tc>
          <w:tcPr>
            <w:tcW w:w="6762" w:type="dxa"/>
            <w:tcBorders>
              <w:top w:val="nil"/>
              <w:left w:val="nil"/>
              <w:bottom w:val="single" w:sz="4" w:space="0" w:color="auto"/>
              <w:right w:val="single" w:sz="4" w:space="0" w:color="auto"/>
            </w:tcBorders>
            <w:shd w:val="clear" w:color="auto" w:fill="auto"/>
            <w:hideMark/>
          </w:tcPr>
          <w:p w14:paraId="57FB8F6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Host mathematics-themed events, such as math circles, math festivals, and puzzle competitions, to bring together mathematics enthusiasts from diverse backgrounds. Create opportunities for networking, collaboration, and knowledge sharing among participants.</w:t>
            </w:r>
          </w:p>
        </w:tc>
        <w:tc>
          <w:tcPr>
            <w:tcW w:w="2566" w:type="dxa"/>
            <w:tcBorders>
              <w:top w:val="nil"/>
              <w:left w:val="nil"/>
              <w:bottom w:val="single" w:sz="4" w:space="0" w:color="auto"/>
              <w:right w:val="single" w:sz="4" w:space="0" w:color="auto"/>
            </w:tcBorders>
            <w:shd w:val="clear" w:color="auto" w:fill="auto"/>
            <w:hideMark/>
          </w:tcPr>
          <w:p w14:paraId="68B865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5DCF1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A0BA0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21328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Online Platforms: </w:t>
            </w:r>
          </w:p>
        </w:tc>
        <w:tc>
          <w:tcPr>
            <w:tcW w:w="6762" w:type="dxa"/>
            <w:tcBorders>
              <w:top w:val="nil"/>
              <w:left w:val="nil"/>
              <w:bottom w:val="single" w:sz="4" w:space="0" w:color="auto"/>
              <w:right w:val="single" w:sz="4" w:space="0" w:color="auto"/>
            </w:tcBorders>
            <w:shd w:val="clear" w:color="auto" w:fill="auto"/>
            <w:hideMark/>
          </w:tcPr>
          <w:p w14:paraId="239CE2D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social media, forums, and online communities to connect with mathematics enthusiasts and share updates about the project's progress. Engage in discussions, answer questions, and solicit feedback from the online mathematics community to foster a sense of ownership and involvement.</w:t>
            </w:r>
          </w:p>
        </w:tc>
        <w:tc>
          <w:tcPr>
            <w:tcW w:w="2566" w:type="dxa"/>
            <w:tcBorders>
              <w:top w:val="nil"/>
              <w:left w:val="nil"/>
              <w:bottom w:val="single" w:sz="4" w:space="0" w:color="auto"/>
              <w:right w:val="single" w:sz="4" w:space="0" w:color="auto"/>
            </w:tcBorders>
            <w:shd w:val="clear" w:color="auto" w:fill="auto"/>
            <w:hideMark/>
          </w:tcPr>
          <w:p w14:paraId="54B69A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2307C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DE81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214E9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Collaborative Projects: </w:t>
            </w:r>
          </w:p>
        </w:tc>
        <w:tc>
          <w:tcPr>
            <w:tcW w:w="6762" w:type="dxa"/>
            <w:tcBorders>
              <w:top w:val="nil"/>
              <w:left w:val="nil"/>
              <w:bottom w:val="single" w:sz="4" w:space="0" w:color="auto"/>
              <w:right w:val="single" w:sz="4" w:space="0" w:color="auto"/>
            </w:tcBorders>
            <w:shd w:val="clear" w:color="auto" w:fill="auto"/>
            <w:hideMark/>
          </w:tcPr>
          <w:p w14:paraId="7CCFFB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mathematics enthusiasts to contribute their expertise, insights, and ideas to the project through collaborative research projects, code contributions, and problem-solving challenges. Recognize and celebrate their contributions to the project's success.</w:t>
            </w:r>
          </w:p>
        </w:tc>
        <w:tc>
          <w:tcPr>
            <w:tcW w:w="2566" w:type="dxa"/>
            <w:tcBorders>
              <w:top w:val="nil"/>
              <w:left w:val="nil"/>
              <w:bottom w:val="single" w:sz="4" w:space="0" w:color="auto"/>
              <w:right w:val="single" w:sz="4" w:space="0" w:color="auto"/>
            </w:tcBorders>
            <w:shd w:val="clear" w:color="auto" w:fill="auto"/>
            <w:hideMark/>
          </w:tcPr>
          <w:p w14:paraId="51F11E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AF7E6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CEDEE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D343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39C2A52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B4769B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B92C00"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5091F9A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2294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89BFB8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mathematics enthusiasts, including students, educators, mathematicians, and amateur mathematicians, represent a diverse and engaged audience eager to support projects that advance mathematical knowledge and tackle challenging problems in the field. By understanding the unique interests and motivations of each segment of the mathematics enthusiast audience and implementing targeted engagement strategies, the PrimeBookOne Project can effectively connect with and mobilize this community to support its goals and objectives.</w:t>
            </w:r>
          </w:p>
        </w:tc>
        <w:tc>
          <w:tcPr>
            <w:tcW w:w="2566" w:type="dxa"/>
            <w:tcBorders>
              <w:top w:val="nil"/>
              <w:left w:val="nil"/>
              <w:bottom w:val="single" w:sz="4" w:space="0" w:color="auto"/>
              <w:right w:val="single" w:sz="4" w:space="0" w:color="auto"/>
            </w:tcBorders>
            <w:shd w:val="clear" w:color="auto" w:fill="auto"/>
            <w:hideMark/>
          </w:tcPr>
          <w:p w14:paraId="230E7C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AB9CF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3D9E7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9F4BD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F2C535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284FB5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E9D25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CB261F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6265023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Educators and Researchers: </w:t>
            </w:r>
          </w:p>
        </w:tc>
        <w:tc>
          <w:tcPr>
            <w:tcW w:w="6762" w:type="dxa"/>
            <w:tcBorders>
              <w:top w:val="nil"/>
              <w:left w:val="nil"/>
              <w:bottom w:val="single" w:sz="4" w:space="0" w:color="auto"/>
              <w:right w:val="single" w:sz="4" w:space="0" w:color="auto"/>
            </w:tcBorders>
            <w:shd w:val="clear" w:color="auto" w:fill="auto"/>
            <w:hideMark/>
          </w:tcPr>
          <w:p w14:paraId="5812EEE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Targeting educators and researchers in mathematics and related fields allows you to tap into a community that values scientific inquiry and innovation. They may be interested in supporting projects that have the potential to contribute to curriculum development, research advancements, or practical applications in the classroom or laboratory.</w:t>
            </w:r>
          </w:p>
        </w:tc>
        <w:tc>
          <w:tcPr>
            <w:tcW w:w="2566" w:type="dxa"/>
            <w:tcBorders>
              <w:top w:val="nil"/>
              <w:left w:val="nil"/>
              <w:bottom w:val="single" w:sz="4" w:space="0" w:color="auto"/>
              <w:right w:val="single" w:sz="4" w:space="0" w:color="auto"/>
            </w:tcBorders>
            <w:shd w:val="clear" w:color="auto" w:fill="auto"/>
            <w:hideMark/>
          </w:tcPr>
          <w:p w14:paraId="696384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03078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A36F3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23844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6297D4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5B161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745FF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C4506F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29C0D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D718D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9E202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2FA43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19190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6119D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Terence Tao: </w:t>
            </w:r>
          </w:p>
        </w:tc>
        <w:tc>
          <w:tcPr>
            <w:tcW w:w="6762" w:type="dxa"/>
            <w:tcBorders>
              <w:top w:val="nil"/>
              <w:left w:val="nil"/>
              <w:bottom w:val="single" w:sz="4" w:space="0" w:color="auto"/>
              <w:right w:val="single" w:sz="4" w:space="0" w:color="auto"/>
            </w:tcBorders>
            <w:shd w:val="clear" w:color="auto" w:fill="auto"/>
            <w:hideMark/>
          </w:tcPr>
          <w:p w14:paraId="30297F2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Fields Medalist and renowned mathematician known for his work in harmonic analysis, partial differential equations, and number theory. Tao's contributions to mathematics have earned him recognition as one of the leading researchers in the field.</w:t>
            </w:r>
          </w:p>
        </w:tc>
        <w:tc>
          <w:tcPr>
            <w:tcW w:w="2566" w:type="dxa"/>
            <w:tcBorders>
              <w:top w:val="nil"/>
              <w:left w:val="nil"/>
              <w:bottom w:val="single" w:sz="4" w:space="0" w:color="auto"/>
              <w:right w:val="single" w:sz="4" w:space="0" w:color="auto"/>
            </w:tcBorders>
            <w:shd w:val="clear" w:color="auto" w:fill="auto"/>
            <w:hideMark/>
          </w:tcPr>
          <w:p w14:paraId="42FF2B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67234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8BACC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56A99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Maryam Mirzakhani: </w:t>
            </w:r>
          </w:p>
        </w:tc>
        <w:tc>
          <w:tcPr>
            <w:tcW w:w="6762" w:type="dxa"/>
            <w:tcBorders>
              <w:top w:val="nil"/>
              <w:left w:val="nil"/>
              <w:bottom w:val="single" w:sz="4" w:space="0" w:color="auto"/>
              <w:right w:val="single" w:sz="4" w:space="0" w:color="auto"/>
            </w:tcBorders>
            <w:shd w:val="clear" w:color="auto" w:fill="auto"/>
            <w:hideMark/>
          </w:tcPr>
          <w:p w14:paraId="74B457E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Another Fields Medalist celebrated for her groundbreaking work on the dynamics and geometry of Riemann surfaces and their moduli spaces. Mirzakhani's research has inspired mathematicians and educators worldwide, particularly in the fields of topology and complex geometry.</w:t>
            </w:r>
          </w:p>
        </w:tc>
        <w:tc>
          <w:tcPr>
            <w:tcW w:w="2566" w:type="dxa"/>
            <w:tcBorders>
              <w:top w:val="nil"/>
              <w:left w:val="nil"/>
              <w:bottom w:val="single" w:sz="4" w:space="0" w:color="auto"/>
              <w:right w:val="single" w:sz="4" w:space="0" w:color="auto"/>
            </w:tcBorders>
            <w:shd w:val="clear" w:color="auto" w:fill="auto"/>
            <w:hideMark/>
          </w:tcPr>
          <w:p w14:paraId="459DEB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5EBBF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DC1A6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26D79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Jo Boaler: </w:t>
            </w:r>
          </w:p>
        </w:tc>
        <w:tc>
          <w:tcPr>
            <w:tcW w:w="6762" w:type="dxa"/>
            <w:tcBorders>
              <w:top w:val="nil"/>
              <w:left w:val="nil"/>
              <w:bottom w:val="single" w:sz="4" w:space="0" w:color="auto"/>
              <w:right w:val="single" w:sz="4" w:space="0" w:color="auto"/>
            </w:tcBorders>
            <w:shd w:val="clear" w:color="auto" w:fill="auto"/>
            <w:hideMark/>
          </w:tcPr>
          <w:p w14:paraId="0228718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mathematics educator and researcher known for her advocacy of equitable mathematics education and her innovative approaches to teaching mathematics. Boaler's work on growth mindset and mathematical thinking has had a significant impact on mathematics education practices in schools and classrooms.</w:t>
            </w:r>
          </w:p>
        </w:tc>
        <w:tc>
          <w:tcPr>
            <w:tcW w:w="2566" w:type="dxa"/>
            <w:tcBorders>
              <w:top w:val="nil"/>
              <w:left w:val="nil"/>
              <w:bottom w:val="single" w:sz="4" w:space="0" w:color="auto"/>
              <w:right w:val="single" w:sz="4" w:space="0" w:color="auto"/>
            </w:tcBorders>
            <w:shd w:val="clear" w:color="auto" w:fill="auto"/>
            <w:hideMark/>
          </w:tcPr>
          <w:p w14:paraId="6498F7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B4B5D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C5CC8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846F9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BA3B0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876DA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74525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9B13BB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4BEAD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5E7DF9E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1E8CFB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92DB7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8872D9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EDDC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3C1BC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1029E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5ED7F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8FA38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5753C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Mathematics Educators: </w:t>
            </w:r>
          </w:p>
        </w:tc>
        <w:tc>
          <w:tcPr>
            <w:tcW w:w="6762" w:type="dxa"/>
            <w:tcBorders>
              <w:top w:val="nil"/>
              <w:left w:val="nil"/>
              <w:bottom w:val="single" w:sz="4" w:space="0" w:color="auto"/>
              <w:right w:val="single" w:sz="4" w:space="0" w:color="auto"/>
            </w:tcBorders>
            <w:shd w:val="clear" w:color="auto" w:fill="auto"/>
            <w:hideMark/>
          </w:tcPr>
          <w:p w14:paraId="1B35F71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This group includes teachers, curriculum developers, and education researchers who are dedicated to improving mathematics instruction and student learning outcomes. They are interested in projects that offer innovative teaching strategies, resources, and professional development opportunities to enhance mathematics education in schools and classrooms.</w:t>
            </w:r>
          </w:p>
        </w:tc>
        <w:tc>
          <w:tcPr>
            <w:tcW w:w="2566" w:type="dxa"/>
            <w:tcBorders>
              <w:top w:val="nil"/>
              <w:left w:val="nil"/>
              <w:bottom w:val="single" w:sz="4" w:space="0" w:color="auto"/>
              <w:right w:val="single" w:sz="4" w:space="0" w:color="auto"/>
            </w:tcBorders>
            <w:shd w:val="clear" w:color="auto" w:fill="auto"/>
            <w:hideMark/>
          </w:tcPr>
          <w:p w14:paraId="005553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371F5F"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58FB6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588B2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Mathematics Researchers: </w:t>
            </w:r>
          </w:p>
        </w:tc>
        <w:tc>
          <w:tcPr>
            <w:tcW w:w="6762" w:type="dxa"/>
            <w:tcBorders>
              <w:top w:val="nil"/>
              <w:left w:val="nil"/>
              <w:bottom w:val="single" w:sz="4" w:space="0" w:color="auto"/>
              <w:right w:val="single" w:sz="4" w:space="0" w:color="auto"/>
            </w:tcBorders>
            <w:shd w:val="clear" w:color="auto" w:fill="auto"/>
            <w:hideMark/>
          </w:tcPr>
          <w:p w14:paraId="00DF95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Professional mathematicians, postdoctoral researchers, and graduate students engage in cutting-edge research to advance mathematical knowledge and solve open problems in various areas of mathematics. They seek projects that contribute to research advancements, collaboration opportunities, and the dissemination of new findings and discoveries in the mathematical community.</w:t>
            </w:r>
          </w:p>
        </w:tc>
        <w:tc>
          <w:tcPr>
            <w:tcW w:w="2566" w:type="dxa"/>
            <w:tcBorders>
              <w:top w:val="nil"/>
              <w:left w:val="nil"/>
              <w:bottom w:val="single" w:sz="4" w:space="0" w:color="auto"/>
              <w:right w:val="single" w:sz="4" w:space="0" w:color="auto"/>
            </w:tcBorders>
            <w:shd w:val="clear" w:color="auto" w:fill="auto"/>
            <w:hideMark/>
          </w:tcPr>
          <w:p w14:paraId="1C683E9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8510A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BBB5B0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A0506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STEM Educators: </w:t>
            </w:r>
          </w:p>
        </w:tc>
        <w:tc>
          <w:tcPr>
            <w:tcW w:w="6762" w:type="dxa"/>
            <w:tcBorders>
              <w:top w:val="nil"/>
              <w:left w:val="nil"/>
              <w:bottom w:val="single" w:sz="4" w:space="0" w:color="auto"/>
              <w:right w:val="single" w:sz="4" w:space="0" w:color="auto"/>
            </w:tcBorders>
            <w:shd w:val="clear" w:color="auto" w:fill="auto"/>
            <w:hideMark/>
          </w:tcPr>
          <w:p w14:paraId="5A3A054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Educators and researchers in science, technology, engineering, and mathematics (STEM) fields are interested in interdisciplinary projects that integrate mathematics with other disciplines and promote cross-curricular learning experiences. They value projects that offer interdisciplinary connections, real-world applications, and hands-on learning opportunities for students.</w:t>
            </w:r>
          </w:p>
        </w:tc>
        <w:tc>
          <w:tcPr>
            <w:tcW w:w="2566" w:type="dxa"/>
            <w:tcBorders>
              <w:top w:val="nil"/>
              <w:left w:val="nil"/>
              <w:bottom w:val="single" w:sz="4" w:space="0" w:color="auto"/>
              <w:right w:val="single" w:sz="4" w:space="0" w:color="auto"/>
            </w:tcBorders>
            <w:shd w:val="clear" w:color="auto" w:fill="auto"/>
            <w:hideMark/>
          </w:tcPr>
          <w:p w14:paraId="7EE9E1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B3ECD6"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4DCDB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DE32B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Teacher Educators: </w:t>
            </w:r>
          </w:p>
        </w:tc>
        <w:tc>
          <w:tcPr>
            <w:tcW w:w="6762" w:type="dxa"/>
            <w:tcBorders>
              <w:top w:val="nil"/>
              <w:left w:val="nil"/>
              <w:bottom w:val="single" w:sz="4" w:space="0" w:color="auto"/>
              <w:right w:val="single" w:sz="4" w:space="0" w:color="auto"/>
            </w:tcBorders>
            <w:shd w:val="clear" w:color="auto" w:fill="auto"/>
            <w:hideMark/>
          </w:tcPr>
          <w:p w14:paraId="324D6A0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Professionals involved in teacher education and professional development programs play a critical role in preparing future mathematics teachers and supporting current educators in their teaching practice. They are interested in projects that offer evidence-based teaching strategies, instructional materials, and resources for pre-service and in-service teachers.</w:t>
            </w:r>
          </w:p>
        </w:tc>
        <w:tc>
          <w:tcPr>
            <w:tcW w:w="2566" w:type="dxa"/>
            <w:tcBorders>
              <w:top w:val="nil"/>
              <w:left w:val="nil"/>
              <w:bottom w:val="single" w:sz="4" w:space="0" w:color="auto"/>
              <w:right w:val="single" w:sz="4" w:space="0" w:color="auto"/>
            </w:tcBorders>
            <w:shd w:val="clear" w:color="auto" w:fill="auto"/>
            <w:hideMark/>
          </w:tcPr>
          <w:p w14:paraId="5EEA7C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F512D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591B1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41008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BD401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850630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13445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AE074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D5094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Strategies:</w:t>
            </w:r>
          </w:p>
        </w:tc>
        <w:tc>
          <w:tcPr>
            <w:tcW w:w="6762" w:type="dxa"/>
            <w:tcBorders>
              <w:top w:val="nil"/>
              <w:left w:val="nil"/>
              <w:bottom w:val="single" w:sz="4" w:space="0" w:color="auto"/>
              <w:right w:val="single" w:sz="4" w:space="0" w:color="auto"/>
            </w:tcBorders>
            <w:shd w:val="clear" w:color="auto" w:fill="auto"/>
            <w:hideMark/>
          </w:tcPr>
          <w:p w14:paraId="3AD103F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F90FB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B1195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63144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2650E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7FBD7F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398CB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97E0C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02603F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73AB3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Professional Development Workshops: </w:t>
            </w:r>
          </w:p>
        </w:tc>
        <w:tc>
          <w:tcPr>
            <w:tcW w:w="6762" w:type="dxa"/>
            <w:tcBorders>
              <w:top w:val="nil"/>
              <w:left w:val="nil"/>
              <w:bottom w:val="single" w:sz="4" w:space="0" w:color="auto"/>
              <w:right w:val="single" w:sz="4" w:space="0" w:color="auto"/>
            </w:tcBorders>
            <w:shd w:val="clear" w:color="auto" w:fill="auto"/>
            <w:hideMark/>
          </w:tcPr>
          <w:p w14:paraId="497D5B6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Offer workshops, seminars, and online courses designed specifically for mathematics educators and researchers to enhance their knowledge, skills, and instructional practices. Provide opportunities for networking, collaboration, and sharing best practices among participants.</w:t>
            </w:r>
          </w:p>
        </w:tc>
        <w:tc>
          <w:tcPr>
            <w:tcW w:w="2566" w:type="dxa"/>
            <w:tcBorders>
              <w:top w:val="nil"/>
              <w:left w:val="nil"/>
              <w:bottom w:val="single" w:sz="4" w:space="0" w:color="auto"/>
              <w:right w:val="single" w:sz="4" w:space="0" w:color="auto"/>
            </w:tcBorders>
            <w:shd w:val="clear" w:color="auto" w:fill="auto"/>
            <w:hideMark/>
          </w:tcPr>
          <w:p w14:paraId="6928CE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283B5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697C58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80C61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Research Collaborations: </w:t>
            </w:r>
          </w:p>
        </w:tc>
        <w:tc>
          <w:tcPr>
            <w:tcW w:w="6762" w:type="dxa"/>
            <w:tcBorders>
              <w:top w:val="nil"/>
              <w:left w:val="nil"/>
              <w:bottom w:val="single" w:sz="4" w:space="0" w:color="auto"/>
              <w:right w:val="single" w:sz="4" w:space="0" w:color="auto"/>
            </w:tcBorders>
            <w:shd w:val="clear" w:color="auto" w:fill="auto"/>
            <w:hideMark/>
          </w:tcPr>
          <w:p w14:paraId="123B831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Foster collaborations between mathematics educators and researchers to bridge the gap between theory and practice and facilitate the translation of research findings into classroom instruction. Encourage partnerships that address pressing educational challenges and promote evidence-based teaching strategies.</w:t>
            </w:r>
          </w:p>
        </w:tc>
        <w:tc>
          <w:tcPr>
            <w:tcW w:w="2566" w:type="dxa"/>
            <w:tcBorders>
              <w:top w:val="nil"/>
              <w:left w:val="nil"/>
              <w:bottom w:val="single" w:sz="4" w:space="0" w:color="auto"/>
              <w:right w:val="single" w:sz="4" w:space="0" w:color="auto"/>
            </w:tcBorders>
            <w:shd w:val="clear" w:color="auto" w:fill="auto"/>
            <w:hideMark/>
          </w:tcPr>
          <w:p w14:paraId="10201DE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2F817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179BF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A1D5B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Curriculum Development: </w:t>
            </w:r>
          </w:p>
        </w:tc>
        <w:tc>
          <w:tcPr>
            <w:tcW w:w="6762" w:type="dxa"/>
            <w:tcBorders>
              <w:top w:val="nil"/>
              <w:left w:val="nil"/>
              <w:bottom w:val="single" w:sz="4" w:space="0" w:color="auto"/>
              <w:right w:val="single" w:sz="4" w:space="0" w:color="auto"/>
            </w:tcBorders>
            <w:shd w:val="clear" w:color="auto" w:fill="auto"/>
            <w:hideMark/>
          </w:tcPr>
          <w:p w14:paraId="098FCDF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Involve educators and researchers in the development of curriculum materials, instructional resources, and assessment tools aligned with project goals and objectives. Seek input and feedback from stakeholders to ensure that the materials meet the needs of diverse learners and promote deep mathematical understanding.</w:t>
            </w:r>
          </w:p>
        </w:tc>
        <w:tc>
          <w:tcPr>
            <w:tcW w:w="2566" w:type="dxa"/>
            <w:tcBorders>
              <w:top w:val="nil"/>
              <w:left w:val="nil"/>
              <w:bottom w:val="single" w:sz="4" w:space="0" w:color="auto"/>
              <w:right w:val="single" w:sz="4" w:space="0" w:color="auto"/>
            </w:tcBorders>
            <w:shd w:val="clear" w:color="auto" w:fill="auto"/>
            <w:hideMark/>
          </w:tcPr>
          <w:p w14:paraId="6CDCDD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19F36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985B3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56554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Dissemination and Outreach: </w:t>
            </w:r>
          </w:p>
        </w:tc>
        <w:tc>
          <w:tcPr>
            <w:tcW w:w="6762" w:type="dxa"/>
            <w:tcBorders>
              <w:top w:val="nil"/>
              <w:left w:val="nil"/>
              <w:bottom w:val="single" w:sz="4" w:space="0" w:color="auto"/>
              <w:right w:val="single" w:sz="4" w:space="0" w:color="auto"/>
            </w:tcBorders>
            <w:shd w:val="clear" w:color="auto" w:fill="auto"/>
            <w:hideMark/>
          </w:tcPr>
          <w:p w14:paraId="1011C43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conferences, journals, and professional networks to disseminate project findings, research outcomes, and educational resources to a broader audience of educators and researchers. Engage in outreach activities, such as webinars, podcasts, and social media campaigns, to raise awareness and promote engagement with the project's work.</w:t>
            </w:r>
          </w:p>
        </w:tc>
        <w:tc>
          <w:tcPr>
            <w:tcW w:w="2566" w:type="dxa"/>
            <w:tcBorders>
              <w:top w:val="nil"/>
              <w:left w:val="nil"/>
              <w:bottom w:val="single" w:sz="4" w:space="0" w:color="auto"/>
              <w:right w:val="single" w:sz="4" w:space="0" w:color="auto"/>
            </w:tcBorders>
            <w:shd w:val="clear" w:color="auto" w:fill="auto"/>
            <w:hideMark/>
          </w:tcPr>
          <w:p w14:paraId="14A0E9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BF146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A9BF2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C0DB8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0B2C2A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E351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E1D02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07DC2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95CCD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4E10FE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92CE88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2EE05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3FA14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FF802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3E473D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3DF6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E9A4FC"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36127D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436DA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D3739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targeting educators and researchers in mathematics and related fields offers the PrimeBookOne Project an opportunity to tap into a community that values scientific inquiry, innovation, and evidence-based practice. By understanding the unique interests and motivations of mathematics educators and researchers and implementing targeted engagement strategies, the project can effectively connect with and mobilize this community to support its goals and objectives.</w:t>
            </w:r>
          </w:p>
        </w:tc>
        <w:tc>
          <w:tcPr>
            <w:tcW w:w="2566" w:type="dxa"/>
            <w:tcBorders>
              <w:top w:val="nil"/>
              <w:left w:val="nil"/>
              <w:bottom w:val="single" w:sz="4" w:space="0" w:color="auto"/>
              <w:right w:val="single" w:sz="4" w:space="0" w:color="auto"/>
            </w:tcBorders>
            <w:shd w:val="clear" w:color="auto" w:fill="auto"/>
            <w:hideMark/>
          </w:tcPr>
          <w:p w14:paraId="050752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EEFCF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26B06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F721D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9DA7F4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E5109B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CC5B1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C6C36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0E6AF67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Science and Technology Enthusiasts: </w:t>
            </w:r>
          </w:p>
        </w:tc>
        <w:tc>
          <w:tcPr>
            <w:tcW w:w="6762" w:type="dxa"/>
            <w:tcBorders>
              <w:top w:val="nil"/>
              <w:left w:val="nil"/>
              <w:bottom w:val="single" w:sz="4" w:space="0" w:color="auto"/>
              <w:right w:val="single" w:sz="4" w:space="0" w:color="auto"/>
            </w:tcBorders>
            <w:shd w:val="clear" w:color="auto" w:fill="auto"/>
            <w:hideMark/>
          </w:tcPr>
          <w:p w14:paraId="387E27B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Individuals who have a general interest in science, technology, engineering, and mathematics (STEM) fields may also be interested in supporting a project on counting primes. They may appreciate the intellectual challenge and potential real-world applications of prime number theory.</w:t>
            </w:r>
          </w:p>
        </w:tc>
        <w:tc>
          <w:tcPr>
            <w:tcW w:w="2566" w:type="dxa"/>
            <w:tcBorders>
              <w:top w:val="nil"/>
              <w:left w:val="nil"/>
              <w:bottom w:val="single" w:sz="4" w:space="0" w:color="auto"/>
              <w:right w:val="single" w:sz="4" w:space="0" w:color="auto"/>
            </w:tcBorders>
            <w:shd w:val="clear" w:color="auto" w:fill="auto"/>
            <w:hideMark/>
          </w:tcPr>
          <w:p w14:paraId="5AC78F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1C468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ECF15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6AB7C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5E18515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5F625F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EE8F5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AC9BC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5BBFB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Elon Musk: </w:t>
            </w:r>
          </w:p>
        </w:tc>
        <w:tc>
          <w:tcPr>
            <w:tcW w:w="6762" w:type="dxa"/>
            <w:tcBorders>
              <w:top w:val="nil"/>
              <w:left w:val="nil"/>
              <w:bottom w:val="single" w:sz="4" w:space="0" w:color="auto"/>
              <w:right w:val="single" w:sz="4" w:space="0" w:color="auto"/>
            </w:tcBorders>
            <w:shd w:val="clear" w:color="auto" w:fill="auto"/>
            <w:hideMark/>
          </w:tcPr>
          <w:p w14:paraId="52D6838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prominent figure in the technology industry known for his ventures such as SpaceX, Tesla, and Neuralink. Musk's fascination with science and technology has led him to support innovative projects that push the boundaries of scientific knowledge and technological advancement.</w:t>
            </w:r>
          </w:p>
        </w:tc>
        <w:tc>
          <w:tcPr>
            <w:tcW w:w="2566" w:type="dxa"/>
            <w:tcBorders>
              <w:top w:val="nil"/>
              <w:left w:val="nil"/>
              <w:bottom w:val="single" w:sz="4" w:space="0" w:color="auto"/>
              <w:right w:val="single" w:sz="4" w:space="0" w:color="auto"/>
            </w:tcBorders>
            <w:shd w:val="clear" w:color="auto" w:fill="auto"/>
            <w:hideMark/>
          </w:tcPr>
          <w:p w14:paraId="0A81C1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EFEDE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0FEB40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4C86A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Neil deGrasse Tyson: </w:t>
            </w:r>
          </w:p>
        </w:tc>
        <w:tc>
          <w:tcPr>
            <w:tcW w:w="6762" w:type="dxa"/>
            <w:tcBorders>
              <w:top w:val="nil"/>
              <w:left w:val="nil"/>
              <w:bottom w:val="single" w:sz="4" w:space="0" w:color="auto"/>
              <w:right w:val="single" w:sz="4" w:space="0" w:color="auto"/>
            </w:tcBorders>
            <w:shd w:val="clear" w:color="auto" w:fill="auto"/>
            <w:hideMark/>
          </w:tcPr>
          <w:p w14:paraId="10D7351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 astrophysicist, science communicator, and host of the television series "Cosmos: A Spacetime Odyssey." Tyson's passion for science and technology has inspired millions of enthusiasts worldwide to engage with STEM subjects and support projects that promote scientific literacy and understanding.</w:t>
            </w:r>
          </w:p>
        </w:tc>
        <w:tc>
          <w:tcPr>
            <w:tcW w:w="2566" w:type="dxa"/>
            <w:tcBorders>
              <w:top w:val="nil"/>
              <w:left w:val="nil"/>
              <w:bottom w:val="single" w:sz="4" w:space="0" w:color="auto"/>
              <w:right w:val="single" w:sz="4" w:space="0" w:color="auto"/>
            </w:tcBorders>
            <w:shd w:val="clear" w:color="auto" w:fill="auto"/>
            <w:hideMark/>
          </w:tcPr>
          <w:p w14:paraId="2B1BE36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2F7EE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A8606E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C322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Bill Gates: </w:t>
            </w:r>
          </w:p>
        </w:tc>
        <w:tc>
          <w:tcPr>
            <w:tcW w:w="6762" w:type="dxa"/>
            <w:tcBorders>
              <w:top w:val="nil"/>
              <w:left w:val="nil"/>
              <w:bottom w:val="single" w:sz="4" w:space="0" w:color="auto"/>
              <w:right w:val="single" w:sz="4" w:space="0" w:color="auto"/>
            </w:tcBorders>
            <w:shd w:val="clear" w:color="auto" w:fill="auto"/>
            <w:hideMark/>
          </w:tcPr>
          <w:p w14:paraId="1300588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Co-founder of Microsoft and a philanthropist dedicated to addressing global challenges through technology and innovation. Gates's interest in science and technology extends to projects that leverage mathematical concepts, such as prime number theory, to solve complex problems and improve people's lives.</w:t>
            </w:r>
          </w:p>
        </w:tc>
        <w:tc>
          <w:tcPr>
            <w:tcW w:w="2566" w:type="dxa"/>
            <w:tcBorders>
              <w:top w:val="nil"/>
              <w:left w:val="nil"/>
              <w:bottom w:val="single" w:sz="4" w:space="0" w:color="auto"/>
              <w:right w:val="single" w:sz="4" w:space="0" w:color="auto"/>
            </w:tcBorders>
            <w:shd w:val="clear" w:color="auto" w:fill="auto"/>
            <w:hideMark/>
          </w:tcPr>
          <w:p w14:paraId="0F50EA0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1FD26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F24A5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EC5A2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654BBD0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9F58D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61F27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8D85A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1184F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STEM Enthusiasts: </w:t>
            </w:r>
          </w:p>
        </w:tc>
        <w:tc>
          <w:tcPr>
            <w:tcW w:w="6762" w:type="dxa"/>
            <w:tcBorders>
              <w:top w:val="nil"/>
              <w:left w:val="nil"/>
              <w:bottom w:val="single" w:sz="4" w:space="0" w:color="auto"/>
              <w:right w:val="single" w:sz="4" w:space="0" w:color="auto"/>
            </w:tcBorders>
            <w:shd w:val="clear" w:color="auto" w:fill="auto"/>
            <w:hideMark/>
          </w:tcPr>
          <w:p w14:paraId="7E27370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This group comprises individuals who have a general interest in science, technology, engineering, and mathematics (STEM) fields and are eager to explore new ideas, concepts, and discoveries. They appreciate projects that offer intellectual challenges, promote critical thinking, and demonstrate the practical applications of STEM knowledge.</w:t>
            </w:r>
          </w:p>
        </w:tc>
        <w:tc>
          <w:tcPr>
            <w:tcW w:w="2566" w:type="dxa"/>
            <w:tcBorders>
              <w:top w:val="nil"/>
              <w:left w:val="nil"/>
              <w:bottom w:val="single" w:sz="4" w:space="0" w:color="auto"/>
              <w:right w:val="single" w:sz="4" w:space="0" w:color="auto"/>
            </w:tcBorders>
            <w:shd w:val="clear" w:color="auto" w:fill="auto"/>
            <w:hideMark/>
          </w:tcPr>
          <w:p w14:paraId="4176B0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EDF46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59F96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4A3E8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Tech Innovators: </w:t>
            </w:r>
          </w:p>
        </w:tc>
        <w:tc>
          <w:tcPr>
            <w:tcW w:w="6762" w:type="dxa"/>
            <w:tcBorders>
              <w:top w:val="nil"/>
              <w:left w:val="nil"/>
              <w:bottom w:val="single" w:sz="4" w:space="0" w:color="auto"/>
              <w:right w:val="single" w:sz="4" w:space="0" w:color="auto"/>
            </w:tcBorders>
            <w:shd w:val="clear" w:color="auto" w:fill="auto"/>
            <w:hideMark/>
          </w:tcPr>
          <w:p w14:paraId="194D1BF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Entrepreneurs, engineers, and innovators in the technology industry are interested in projects that push the boundaries of technological innovation and offer new opportunities for scientific exploration and discovery. They seek projects that demonstrate the potential for disruptive technologies and transformative breakthroughs in science and technology.</w:t>
            </w:r>
          </w:p>
        </w:tc>
        <w:tc>
          <w:tcPr>
            <w:tcW w:w="2566" w:type="dxa"/>
            <w:tcBorders>
              <w:top w:val="nil"/>
              <w:left w:val="nil"/>
              <w:bottom w:val="single" w:sz="4" w:space="0" w:color="auto"/>
              <w:right w:val="single" w:sz="4" w:space="0" w:color="auto"/>
            </w:tcBorders>
            <w:shd w:val="clear" w:color="auto" w:fill="auto"/>
            <w:hideMark/>
          </w:tcPr>
          <w:p w14:paraId="3E37ACD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BDE2F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BC677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E61FF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Space Exploration Enthusiasts: </w:t>
            </w:r>
          </w:p>
        </w:tc>
        <w:tc>
          <w:tcPr>
            <w:tcW w:w="6762" w:type="dxa"/>
            <w:tcBorders>
              <w:top w:val="nil"/>
              <w:left w:val="nil"/>
              <w:bottom w:val="single" w:sz="4" w:space="0" w:color="auto"/>
              <w:right w:val="single" w:sz="4" w:space="0" w:color="auto"/>
            </w:tcBorders>
            <w:shd w:val="clear" w:color="auto" w:fill="auto"/>
            <w:hideMark/>
          </w:tcPr>
          <w:p w14:paraId="026601B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Individuals fascinated by space exploration, astronomy, and cosmology are drawn to projects that explore the mysteries of the universe and advance our understanding of the cosmos. They are interested in projects that leverage mathematical concepts, such as prime number theory, to address fundamental questions about the nature of reality and the universe.</w:t>
            </w:r>
          </w:p>
        </w:tc>
        <w:tc>
          <w:tcPr>
            <w:tcW w:w="2566" w:type="dxa"/>
            <w:tcBorders>
              <w:top w:val="nil"/>
              <w:left w:val="nil"/>
              <w:bottom w:val="single" w:sz="4" w:space="0" w:color="auto"/>
              <w:right w:val="single" w:sz="4" w:space="0" w:color="auto"/>
            </w:tcBorders>
            <w:shd w:val="clear" w:color="auto" w:fill="auto"/>
            <w:hideMark/>
          </w:tcPr>
          <w:p w14:paraId="1E5D2E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2BFF96"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AB876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B12C0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Data Scientists and Analysts: </w:t>
            </w:r>
          </w:p>
        </w:tc>
        <w:tc>
          <w:tcPr>
            <w:tcW w:w="6762" w:type="dxa"/>
            <w:tcBorders>
              <w:top w:val="nil"/>
              <w:left w:val="nil"/>
              <w:bottom w:val="single" w:sz="4" w:space="0" w:color="auto"/>
              <w:right w:val="single" w:sz="4" w:space="0" w:color="auto"/>
            </w:tcBorders>
            <w:shd w:val="clear" w:color="auto" w:fill="auto"/>
            <w:hideMark/>
          </w:tcPr>
          <w:p w14:paraId="24F2AE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Professionals in the field of data science and analytics are intrigued by projects that involve complex mathematical algorithms, data analysis techniques, and computational modeling. They recognize the importance of prime number theory in cryptography, data compression, and information security and are interested in projects that explore these applications in depth.</w:t>
            </w:r>
          </w:p>
        </w:tc>
        <w:tc>
          <w:tcPr>
            <w:tcW w:w="2566" w:type="dxa"/>
            <w:tcBorders>
              <w:top w:val="nil"/>
              <w:left w:val="nil"/>
              <w:bottom w:val="single" w:sz="4" w:space="0" w:color="auto"/>
              <w:right w:val="single" w:sz="4" w:space="0" w:color="auto"/>
            </w:tcBorders>
            <w:shd w:val="clear" w:color="auto" w:fill="auto"/>
            <w:hideMark/>
          </w:tcPr>
          <w:p w14:paraId="0D1B94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9631F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0F91B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8D8C1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Strategies:</w:t>
            </w:r>
          </w:p>
        </w:tc>
        <w:tc>
          <w:tcPr>
            <w:tcW w:w="6762" w:type="dxa"/>
            <w:tcBorders>
              <w:top w:val="nil"/>
              <w:left w:val="nil"/>
              <w:bottom w:val="single" w:sz="4" w:space="0" w:color="auto"/>
              <w:right w:val="single" w:sz="4" w:space="0" w:color="auto"/>
            </w:tcBorders>
            <w:shd w:val="clear" w:color="auto" w:fill="auto"/>
            <w:hideMark/>
          </w:tcPr>
          <w:p w14:paraId="3443437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37F02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00892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F0699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3CCBF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Public Outreach Events: </w:t>
            </w:r>
          </w:p>
        </w:tc>
        <w:tc>
          <w:tcPr>
            <w:tcW w:w="6762" w:type="dxa"/>
            <w:tcBorders>
              <w:top w:val="nil"/>
              <w:left w:val="nil"/>
              <w:bottom w:val="single" w:sz="4" w:space="0" w:color="auto"/>
              <w:right w:val="single" w:sz="4" w:space="0" w:color="auto"/>
            </w:tcBorders>
            <w:shd w:val="clear" w:color="auto" w:fill="auto"/>
            <w:hideMark/>
          </w:tcPr>
          <w:p w14:paraId="6669F9E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public lectures, workshops, and demonstrations to engage science and technology enthusiasts and educate them about the significance of prime number theory and its applications in various fields. Use interactive presentations, hands-on activities, and multimedia resources to capture their interest and promote active participation.</w:t>
            </w:r>
          </w:p>
        </w:tc>
        <w:tc>
          <w:tcPr>
            <w:tcW w:w="2566" w:type="dxa"/>
            <w:tcBorders>
              <w:top w:val="nil"/>
              <w:left w:val="nil"/>
              <w:bottom w:val="single" w:sz="4" w:space="0" w:color="auto"/>
              <w:right w:val="single" w:sz="4" w:space="0" w:color="auto"/>
            </w:tcBorders>
            <w:shd w:val="clear" w:color="auto" w:fill="auto"/>
            <w:hideMark/>
          </w:tcPr>
          <w:p w14:paraId="0AA5FD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4B79B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89A20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F06DD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Online Communities and Forums: </w:t>
            </w:r>
          </w:p>
        </w:tc>
        <w:tc>
          <w:tcPr>
            <w:tcW w:w="6762" w:type="dxa"/>
            <w:tcBorders>
              <w:top w:val="nil"/>
              <w:left w:val="nil"/>
              <w:bottom w:val="single" w:sz="4" w:space="0" w:color="auto"/>
              <w:right w:val="single" w:sz="4" w:space="0" w:color="auto"/>
            </w:tcBorders>
            <w:shd w:val="clear" w:color="auto" w:fill="auto"/>
            <w:hideMark/>
          </w:tcPr>
          <w:p w14:paraId="21B39CF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Leverage social media platforms, online forums, and virtual communities to connect with science and technology enthusiasts and foster discussions about prime number theory and its implications for science, technology, and society. Create engaging content, such as blog posts, videos, and infographics, to share insights, research findings, and project updates with a broader audience.</w:t>
            </w:r>
          </w:p>
        </w:tc>
        <w:tc>
          <w:tcPr>
            <w:tcW w:w="2566" w:type="dxa"/>
            <w:tcBorders>
              <w:top w:val="nil"/>
              <w:left w:val="nil"/>
              <w:bottom w:val="single" w:sz="4" w:space="0" w:color="auto"/>
              <w:right w:val="single" w:sz="4" w:space="0" w:color="auto"/>
            </w:tcBorders>
            <w:shd w:val="clear" w:color="auto" w:fill="auto"/>
            <w:hideMark/>
          </w:tcPr>
          <w:p w14:paraId="029975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A4DD2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E8991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96AD2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Collaborative Projects and Hackathons: </w:t>
            </w:r>
          </w:p>
        </w:tc>
        <w:tc>
          <w:tcPr>
            <w:tcW w:w="6762" w:type="dxa"/>
            <w:tcBorders>
              <w:top w:val="nil"/>
              <w:left w:val="nil"/>
              <w:bottom w:val="single" w:sz="4" w:space="0" w:color="auto"/>
              <w:right w:val="single" w:sz="4" w:space="0" w:color="auto"/>
            </w:tcBorders>
            <w:shd w:val="clear" w:color="auto" w:fill="auto"/>
            <w:hideMark/>
          </w:tcPr>
          <w:p w14:paraId="657C932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Collaborate with technology companies, research institutions, and community organizations to organize collaborative projects, hackathons, and innovation challenges focused on prime number theory and its applications. Encourage participants to work together to develop innovative solutions, prototypes, and applications that leverage prime number theory for real-world problems and challenges.</w:t>
            </w:r>
          </w:p>
        </w:tc>
        <w:tc>
          <w:tcPr>
            <w:tcW w:w="2566" w:type="dxa"/>
            <w:tcBorders>
              <w:top w:val="nil"/>
              <w:left w:val="nil"/>
              <w:bottom w:val="single" w:sz="4" w:space="0" w:color="auto"/>
              <w:right w:val="single" w:sz="4" w:space="0" w:color="auto"/>
            </w:tcBorders>
            <w:shd w:val="clear" w:color="auto" w:fill="auto"/>
            <w:hideMark/>
          </w:tcPr>
          <w:p w14:paraId="7725C9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C7466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2C423F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A480A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Partnerships and Sponsorships: </w:t>
            </w:r>
          </w:p>
        </w:tc>
        <w:tc>
          <w:tcPr>
            <w:tcW w:w="6762" w:type="dxa"/>
            <w:tcBorders>
              <w:top w:val="nil"/>
              <w:left w:val="nil"/>
              <w:bottom w:val="single" w:sz="4" w:space="0" w:color="auto"/>
              <w:right w:val="single" w:sz="4" w:space="0" w:color="auto"/>
            </w:tcBorders>
            <w:shd w:val="clear" w:color="auto" w:fill="auto"/>
            <w:hideMark/>
          </w:tcPr>
          <w:p w14:paraId="66E7D92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Seek partnerships and sponsorships from technology companies, science organizations, and STEM-focused initiatives to support the project's goals and objectives. Collaborate with industry leaders, academic institutions, and nonprofit organizations to leverage their expertise, resources, and networks to amplify the project's impact and reach a wider audience of science and technology enthusiasts.</w:t>
            </w:r>
          </w:p>
        </w:tc>
        <w:tc>
          <w:tcPr>
            <w:tcW w:w="2566" w:type="dxa"/>
            <w:tcBorders>
              <w:top w:val="nil"/>
              <w:left w:val="nil"/>
              <w:bottom w:val="single" w:sz="4" w:space="0" w:color="auto"/>
              <w:right w:val="single" w:sz="4" w:space="0" w:color="auto"/>
            </w:tcBorders>
            <w:shd w:val="clear" w:color="auto" w:fill="auto"/>
            <w:hideMark/>
          </w:tcPr>
          <w:p w14:paraId="6783D6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324AF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2E4DF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700A6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224CC45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6147DF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6964CA"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371FF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61E14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0D30D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science and technology enthusiasts represent a diverse and engaged audience eager to support projects that promote scientific inquiry, technological innovation, and STEM education. By understanding the unique interests and motivations of this audience and implementing targeted engagement strategies, the PrimeBookOne Project can effectively connect with and mobilize science and technology enthusiasts to support its goals and objectives.</w:t>
            </w:r>
          </w:p>
        </w:tc>
        <w:tc>
          <w:tcPr>
            <w:tcW w:w="2566" w:type="dxa"/>
            <w:tcBorders>
              <w:top w:val="nil"/>
              <w:left w:val="nil"/>
              <w:bottom w:val="single" w:sz="4" w:space="0" w:color="auto"/>
              <w:right w:val="single" w:sz="4" w:space="0" w:color="auto"/>
            </w:tcBorders>
            <w:shd w:val="clear" w:color="auto" w:fill="auto"/>
            <w:hideMark/>
          </w:tcPr>
          <w:p w14:paraId="6217C1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3EA78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A4C6B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B3D17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78038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02CDD9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7A122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2AD3C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5AE6D64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Cryptography and Security Professionals: </w:t>
            </w:r>
          </w:p>
        </w:tc>
        <w:tc>
          <w:tcPr>
            <w:tcW w:w="6762" w:type="dxa"/>
            <w:tcBorders>
              <w:top w:val="nil"/>
              <w:left w:val="nil"/>
              <w:bottom w:val="single" w:sz="4" w:space="0" w:color="auto"/>
              <w:right w:val="single" w:sz="4" w:space="0" w:color="auto"/>
            </w:tcBorders>
            <w:shd w:val="clear" w:color="auto" w:fill="auto"/>
            <w:hideMark/>
          </w:tcPr>
          <w:p w14:paraId="64B679A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Professionals working in cryptography, cybersecurity, and information security industries have a vested interest in prime number theory due to its crucial role in encryption algorithms and digital security. They may support projects that contribute to advancements in prime number theory and its applications in securing digital communications and transactions.</w:t>
            </w:r>
          </w:p>
        </w:tc>
        <w:tc>
          <w:tcPr>
            <w:tcW w:w="2566" w:type="dxa"/>
            <w:tcBorders>
              <w:top w:val="nil"/>
              <w:left w:val="nil"/>
              <w:bottom w:val="single" w:sz="4" w:space="0" w:color="auto"/>
              <w:right w:val="single" w:sz="4" w:space="0" w:color="auto"/>
            </w:tcBorders>
            <w:shd w:val="clear" w:color="auto" w:fill="auto"/>
            <w:hideMark/>
          </w:tcPr>
          <w:p w14:paraId="4765765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DA1DA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816D8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88159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22B27D3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7A2B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FD0C5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3B05C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DE082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Whitfield Diffie and Martin Hellman: </w:t>
            </w:r>
          </w:p>
        </w:tc>
        <w:tc>
          <w:tcPr>
            <w:tcW w:w="6762" w:type="dxa"/>
            <w:tcBorders>
              <w:top w:val="nil"/>
              <w:left w:val="nil"/>
              <w:bottom w:val="single" w:sz="4" w:space="0" w:color="auto"/>
              <w:right w:val="single" w:sz="4" w:space="0" w:color="auto"/>
            </w:tcBorders>
            <w:shd w:val="clear" w:color="auto" w:fill="auto"/>
            <w:hideMark/>
          </w:tcPr>
          <w:p w14:paraId="63EB38C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Known for their groundbreaking work on public-key cryptography and the invention of the Diffie-Hellman key exchange protocol. Their contributions revolutionized modern cryptography and laid the foundation for secure digital communication over the internet.</w:t>
            </w:r>
          </w:p>
        </w:tc>
        <w:tc>
          <w:tcPr>
            <w:tcW w:w="2566" w:type="dxa"/>
            <w:tcBorders>
              <w:top w:val="nil"/>
              <w:left w:val="nil"/>
              <w:bottom w:val="single" w:sz="4" w:space="0" w:color="auto"/>
              <w:right w:val="single" w:sz="4" w:space="0" w:color="auto"/>
            </w:tcBorders>
            <w:shd w:val="clear" w:color="auto" w:fill="auto"/>
            <w:hideMark/>
          </w:tcPr>
          <w:p w14:paraId="51ECF8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4FA77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8D0267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5FDB6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Ron Rivest, Adi Shamir, and Leonard Adleman (RSA): </w:t>
            </w:r>
          </w:p>
        </w:tc>
        <w:tc>
          <w:tcPr>
            <w:tcW w:w="6762" w:type="dxa"/>
            <w:tcBorders>
              <w:top w:val="nil"/>
              <w:left w:val="nil"/>
              <w:bottom w:val="single" w:sz="4" w:space="0" w:color="auto"/>
              <w:right w:val="single" w:sz="4" w:space="0" w:color="auto"/>
            </w:tcBorders>
            <w:shd w:val="clear" w:color="auto" w:fill="auto"/>
            <w:hideMark/>
          </w:tcPr>
          <w:p w14:paraId="7C6FC44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trio behind the RSA encryption algorithm, one of the most widely used cryptographic algorithms for secure data transmission and digital signatures. Their work has had a profound impact on information security and encryption standards worldwide.</w:t>
            </w:r>
          </w:p>
        </w:tc>
        <w:tc>
          <w:tcPr>
            <w:tcW w:w="2566" w:type="dxa"/>
            <w:tcBorders>
              <w:top w:val="nil"/>
              <w:left w:val="nil"/>
              <w:bottom w:val="single" w:sz="4" w:space="0" w:color="auto"/>
              <w:right w:val="single" w:sz="4" w:space="0" w:color="auto"/>
            </w:tcBorders>
            <w:shd w:val="clear" w:color="auto" w:fill="auto"/>
            <w:hideMark/>
          </w:tcPr>
          <w:p w14:paraId="66CA69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68605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0D809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03609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Bruce Schneier: </w:t>
            </w:r>
          </w:p>
        </w:tc>
        <w:tc>
          <w:tcPr>
            <w:tcW w:w="6762" w:type="dxa"/>
            <w:tcBorders>
              <w:top w:val="nil"/>
              <w:left w:val="nil"/>
              <w:bottom w:val="single" w:sz="4" w:space="0" w:color="auto"/>
              <w:right w:val="single" w:sz="4" w:space="0" w:color="auto"/>
            </w:tcBorders>
            <w:shd w:val="clear" w:color="auto" w:fill="auto"/>
            <w:hideMark/>
          </w:tcPr>
          <w:p w14:paraId="1B9E21A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renowned cryptographer, author, and cybersecurity expert known for his advocacy of strong encryption and privacy-enhancing technologies. Schneier's insights and analyses on cryptography, security protocols, and privacy issues have shaped industry practices and public policy debates on digital security.</w:t>
            </w:r>
          </w:p>
        </w:tc>
        <w:tc>
          <w:tcPr>
            <w:tcW w:w="2566" w:type="dxa"/>
            <w:tcBorders>
              <w:top w:val="nil"/>
              <w:left w:val="nil"/>
              <w:bottom w:val="single" w:sz="4" w:space="0" w:color="auto"/>
              <w:right w:val="single" w:sz="4" w:space="0" w:color="auto"/>
            </w:tcBorders>
            <w:shd w:val="clear" w:color="auto" w:fill="auto"/>
            <w:hideMark/>
          </w:tcPr>
          <w:p w14:paraId="1C7CF8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A0711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C44DB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A294B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302F93E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C4999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C9522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C1E56B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F212F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Cryptographers: </w:t>
            </w:r>
          </w:p>
        </w:tc>
        <w:tc>
          <w:tcPr>
            <w:tcW w:w="6762" w:type="dxa"/>
            <w:tcBorders>
              <w:top w:val="nil"/>
              <w:left w:val="nil"/>
              <w:bottom w:val="single" w:sz="4" w:space="0" w:color="auto"/>
              <w:right w:val="single" w:sz="4" w:space="0" w:color="auto"/>
            </w:tcBorders>
            <w:shd w:val="clear" w:color="auto" w:fill="auto"/>
            <w:hideMark/>
          </w:tcPr>
          <w:p w14:paraId="1BCDA94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Professionals specializing in cryptography research, algorithm design, and cryptographic protocol analysis are deeply interested in projects that advance the theoretical understanding and practical applications of prime number theory in encryption algorithms and digital security. They seek projects that offer innovative solutions, novel techniques, and theoretical insights into cryptographic primitives and protocols.</w:t>
            </w:r>
          </w:p>
        </w:tc>
        <w:tc>
          <w:tcPr>
            <w:tcW w:w="2566" w:type="dxa"/>
            <w:tcBorders>
              <w:top w:val="nil"/>
              <w:left w:val="nil"/>
              <w:bottom w:val="single" w:sz="4" w:space="0" w:color="auto"/>
              <w:right w:val="single" w:sz="4" w:space="0" w:color="auto"/>
            </w:tcBorders>
            <w:shd w:val="clear" w:color="auto" w:fill="auto"/>
            <w:hideMark/>
          </w:tcPr>
          <w:p w14:paraId="3BE456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C7801F"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3622ED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AC95B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Cybersecurity Analysts: </w:t>
            </w:r>
          </w:p>
        </w:tc>
        <w:tc>
          <w:tcPr>
            <w:tcW w:w="6762" w:type="dxa"/>
            <w:tcBorders>
              <w:top w:val="nil"/>
              <w:left w:val="nil"/>
              <w:bottom w:val="single" w:sz="4" w:space="0" w:color="auto"/>
              <w:right w:val="single" w:sz="4" w:space="0" w:color="auto"/>
            </w:tcBorders>
            <w:shd w:val="clear" w:color="auto" w:fill="auto"/>
            <w:hideMark/>
          </w:tcPr>
          <w:p w14:paraId="1FF7BD7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Analysts, consultants, and practitioners in the cybersecurity industry are focused on identifying, assessing, and mitigating security risks and vulnerabilities in digital systems and networks. They value projects that provide tools, techniques, and methodologies for enhancing the security of cryptographic systems and protecting sensitive information from unauthorized access and exploitation.</w:t>
            </w:r>
          </w:p>
        </w:tc>
        <w:tc>
          <w:tcPr>
            <w:tcW w:w="2566" w:type="dxa"/>
            <w:tcBorders>
              <w:top w:val="nil"/>
              <w:left w:val="nil"/>
              <w:bottom w:val="single" w:sz="4" w:space="0" w:color="auto"/>
              <w:right w:val="single" w:sz="4" w:space="0" w:color="auto"/>
            </w:tcBorders>
            <w:shd w:val="clear" w:color="auto" w:fill="auto"/>
            <w:hideMark/>
          </w:tcPr>
          <w:p w14:paraId="7E2C0B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F0A366"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28B14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A534F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Information Security Engineers: </w:t>
            </w:r>
          </w:p>
        </w:tc>
        <w:tc>
          <w:tcPr>
            <w:tcW w:w="6762" w:type="dxa"/>
            <w:tcBorders>
              <w:top w:val="nil"/>
              <w:left w:val="nil"/>
              <w:bottom w:val="single" w:sz="4" w:space="0" w:color="auto"/>
              <w:right w:val="single" w:sz="4" w:space="0" w:color="auto"/>
            </w:tcBorders>
            <w:shd w:val="clear" w:color="auto" w:fill="auto"/>
            <w:hideMark/>
          </w:tcPr>
          <w:p w14:paraId="28ED0AA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Engineers responsible for designing, implementing, and managing security systems and infrastructure in organizations are interested in projects that offer practical solutions, best practices, and standards-compliant implementations of cryptographic algorithms and security protocols. They seek projects that address real-world security challenges, such as secure key management, secure data transmission, and secure authentication mechanisms.</w:t>
            </w:r>
          </w:p>
        </w:tc>
        <w:tc>
          <w:tcPr>
            <w:tcW w:w="2566" w:type="dxa"/>
            <w:tcBorders>
              <w:top w:val="nil"/>
              <w:left w:val="nil"/>
              <w:bottom w:val="single" w:sz="4" w:space="0" w:color="auto"/>
              <w:right w:val="single" w:sz="4" w:space="0" w:color="auto"/>
            </w:tcBorders>
            <w:shd w:val="clear" w:color="auto" w:fill="auto"/>
            <w:hideMark/>
          </w:tcPr>
          <w:p w14:paraId="28BF2B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B5431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2B954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EB812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Cryptocurrency Developers: </w:t>
            </w:r>
          </w:p>
        </w:tc>
        <w:tc>
          <w:tcPr>
            <w:tcW w:w="6762" w:type="dxa"/>
            <w:tcBorders>
              <w:top w:val="nil"/>
              <w:left w:val="nil"/>
              <w:bottom w:val="single" w:sz="4" w:space="0" w:color="auto"/>
              <w:right w:val="single" w:sz="4" w:space="0" w:color="auto"/>
            </w:tcBorders>
            <w:shd w:val="clear" w:color="auto" w:fill="auto"/>
            <w:hideMark/>
          </w:tcPr>
          <w:p w14:paraId="27C76A8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Developers and engineers working on blockchain technologies and decentralized systems are keenly interested in projects that leverage prime number theory for cryptographic primitives, such as digital signatures, hash functions, and consensus mechanisms. They value projects that offer secure and efficient cryptographic algorithms for securing transactions, validating blocks, and preserving the integrity of distributed ledgers.</w:t>
            </w:r>
          </w:p>
        </w:tc>
        <w:tc>
          <w:tcPr>
            <w:tcW w:w="2566" w:type="dxa"/>
            <w:tcBorders>
              <w:top w:val="nil"/>
              <w:left w:val="nil"/>
              <w:bottom w:val="single" w:sz="4" w:space="0" w:color="auto"/>
              <w:right w:val="single" w:sz="4" w:space="0" w:color="auto"/>
            </w:tcBorders>
            <w:shd w:val="clear" w:color="auto" w:fill="auto"/>
            <w:hideMark/>
          </w:tcPr>
          <w:p w14:paraId="284F56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0DF90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2DB88B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19D47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Strategies:</w:t>
            </w:r>
          </w:p>
        </w:tc>
        <w:tc>
          <w:tcPr>
            <w:tcW w:w="6762" w:type="dxa"/>
            <w:tcBorders>
              <w:top w:val="nil"/>
              <w:left w:val="nil"/>
              <w:bottom w:val="single" w:sz="4" w:space="0" w:color="auto"/>
              <w:right w:val="single" w:sz="4" w:space="0" w:color="auto"/>
            </w:tcBorders>
            <w:shd w:val="clear" w:color="auto" w:fill="auto"/>
            <w:hideMark/>
          </w:tcPr>
          <w:p w14:paraId="58F995C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9F4C3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F82D5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9173A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28C92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Technical Workshops and Conferences: </w:t>
            </w:r>
          </w:p>
        </w:tc>
        <w:tc>
          <w:tcPr>
            <w:tcW w:w="6762" w:type="dxa"/>
            <w:tcBorders>
              <w:top w:val="nil"/>
              <w:left w:val="nil"/>
              <w:bottom w:val="single" w:sz="4" w:space="0" w:color="auto"/>
              <w:right w:val="single" w:sz="4" w:space="0" w:color="auto"/>
            </w:tcBorders>
            <w:shd w:val="clear" w:color="auto" w:fill="auto"/>
            <w:hideMark/>
          </w:tcPr>
          <w:p w14:paraId="76BAA6E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workshops, conferences, and seminars focused on cryptography, cybersecurity, and information security to engage with professionals in the field and showcase the project's relevance and contributions to prime number theory. Provide opportunities for networking, knowledge sharing, and collaboration among participants.</w:t>
            </w:r>
          </w:p>
        </w:tc>
        <w:tc>
          <w:tcPr>
            <w:tcW w:w="2566" w:type="dxa"/>
            <w:tcBorders>
              <w:top w:val="nil"/>
              <w:left w:val="nil"/>
              <w:bottom w:val="single" w:sz="4" w:space="0" w:color="auto"/>
              <w:right w:val="single" w:sz="4" w:space="0" w:color="auto"/>
            </w:tcBorders>
            <w:shd w:val="clear" w:color="auto" w:fill="auto"/>
            <w:hideMark/>
          </w:tcPr>
          <w:p w14:paraId="71A2BB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E45D7E"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DF087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9D30B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Research Collaborations and Peer Review: </w:t>
            </w:r>
          </w:p>
        </w:tc>
        <w:tc>
          <w:tcPr>
            <w:tcW w:w="6762" w:type="dxa"/>
            <w:tcBorders>
              <w:top w:val="nil"/>
              <w:left w:val="nil"/>
              <w:bottom w:val="single" w:sz="4" w:space="0" w:color="auto"/>
              <w:right w:val="single" w:sz="4" w:space="0" w:color="auto"/>
            </w:tcBorders>
            <w:shd w:val="clear" w:color="auto" w:fill="auto"/>
            <w:hideMark/>
          </w:tcPr>
          <w:p w14:paraId="0C631E5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Collaborate with academic researchers, industry experts, and government agencies to conduct collaborative research projects, peer-reviewed studies, and technical evaluations of cryptographic algorithms and security protocols. Seek feedback, validation, and contributions from the cryptography and security community to enhance the credibility and rigor of the project's research findings and outcomes.</w:t>
            </w:r>
          </w:p>
        </w:tc>
        <w:tc>
          <w:tcPr>
            <w:tcW w:w="2566" w:type="dxa"/>
            <w:tcBorders>
              <w:top w:val="nil"/>
              <w:left w:val="nil"/>
              <w:bottom w:val="single" w:sz="4" w:space="0" w:color="auto"/>
              <w:right w:val="single" w:sz="4" w:space="0" w:color="auto"/>
            </w:tcBorders>
            <w:shd w:val="clear" w:color="auto" w:fill="auto"/>
            <w:hideMark/>
          </w:tcPr>
          <w:p w14:paraId="518F05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4A016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1E3B4A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95D9D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Open Source Contributions and Code Reviews: </w:t>
            </w:r>
          </w:p>
        </w:tc>
        <w:tc>
          <w:tcPr>
            <w:tcW w:w="6762" w:type="dxa"/>
            <w:tcBorders>
              <w:top w:val="nil"/>
              <w:left w:val="nil"/>
              <w:bottom w:val="single" w:sz="4" w:space="0" w:color="auto"/>
              <w:right w:val="single" w:sz="4" w:space="0" w:color="auto"/>
            </w:tcBorders>
            <w:shd w:val="clear" w:color="auto" w:fill="auto"/>
            <w:hideMark/>
          </w:tcPr>
          <w:p w14:paraId="1AD1B91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Contribute to open-source cryptographic libraries, security protocols, and cryptographic standards to demonstrate the project's commitment to transparency, peer review, and community-driven development. Engage with developers, contributors, and maintainers of open-source projects to exchange ideas, share expertise, and improve the quality and security of cryptographic software and tools.</w:t>
            </w:r>
          </w:p>
        </w:tc>
        <w:tc>
          <w:tcPr>
            <w:tcW w:w="2566" w:type="dxa"/>
            <w:tcBorders>
              <w:top w:val="nil"/>
              <w:left w:val="nil"/>
              <w:bottom w:val="single" w:sz="4" w:space="0" w:color="auto"/>
              <w:right w:val="single" w:sz="4" w:space="0" w:color="auto"/>
            </w:tcBorders>
            <w:shd w:val="clear" w:color="auto" w:fill="auto"/>
            <w:hideMark/>
          </w:tcPr>
          <w:p w14:paraId="7AB54C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CD4A14"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6A248D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50AE9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Partnerships with Industry Leaders: </w:t>
            </w:r>
          </w:p>
        </w:tc>
        <w:tc>
          <w:tcPr>
            <w:tcW w:w="6762" w:type="dxa"/>
            <w:tcBorders>
              <w:top w:val="nil"/>
              <w:left w:val="nil"/>
              <w:bottom w:val="single" w:sz="4" w:space="0" w:color="auto"/>
              <w:right w:val="single" w:sz="4" w:space="0" w:color="auto"/>
            </w:tcBorders>
            <w:shd w:val="clear" w:color="auto" w:fill="auto"/>
            <w:hideMark/>
          </w:tcPr>
          <w:p w14:paraId="0D467CF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Forge partnerships and collaborations with leading technology companies, cybersecurity firms, and cryptographic research organizations to leverage their expertise, resources, and networks to advance the project's goals and objectives. Collaborate on joint research initiatives, technology transfer programs, and industry standards development efforts to promote the adoption and integration of secure cryptographic solutions in commercial products and services.</w:t>
            </w:r>
          </w:p>
        </w:tc>
        <w:tc>
          <w:tcPr>
            <w:tcW w:w="2566" w:type="dxa"/>
            <w:tcBorders>
              <w:top w:val="nil"/>
              <w:left w:val="nil"/>
              <w:bottom w:val="single" w:sz="4" w:space="0" w:color="auto"/>
              <w:right w:val="single" w:sz="4" w:space="0" w:color="auto"/>
            </w:tcBorders>
            <w:shd w:val="clear" w:color="auto" w:fill="auto"/>
            <w:hideMark/>
          </w:tcPr>
          <w:p w14:paraId="643607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03851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99F932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DDB16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38EBEC5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DD6FF0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FCFF7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E14B3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452B8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A4D39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cryptography and security professionals represent a critical audience with a vested interest in prime number theory and its applications in encryption algorithms, digital security, and secure communications. By understanding the unique needs and priorities of this audience and implementing targeted engagement strategies, the PrimeBookOne Project can effectively connect with and mobilize cryptography and security professionals to support its goals and objectives.</w:t>
            </w:r>
          </w:p>
        </w:tc>
        <w:tc>
          <w:tcPr>
            <w:tcW w:w="2566" w:type="dxa"/>
            <w:tcBorders>
              <w:top w:val="nil"/>
              <w:left w:val="nil"/>
              <w:bottom w:val="single" w:sz="4" w:space="0" w:color="auto"/>
              <w:right w:val="single" w:sz="4" w:space="0" w:color="auto"/>
            </w:tcBorders>
            <w:shd w:val="clear" w:color="auto" w:fill="auto"/>
            <w:hideMark/>
          </w:tcPr>
          <w:p w14:paraId="3956C62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0285A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4E159A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38A12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B8B0DF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A38A6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2813A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4CE8D3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530C7BA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Tech Innovators and Entrepreneurs: </w:t>
            </w:r>
          </w:p>
        </w:tc>
        <w:tc>
          <w:tcPr>
            <w:tcW w:w="6762" w:type="dxa"/>
            <w:tcBorders>
              <w:top w:val="nil"/>
              <w:left w:val="nil"/>
              <w:bottom w:val="single" w:sz="4" w:space="0" w:color="auto"/>
              <w:right w:val="single" w:sz="4" w:space="0" w:color="auto"/>
            </w:tcBorders>
            <w:shd w:val="clear" w:color="auto" w:fill="auto"/>
            <w:hideMark/>
          </w:tcPr>
          <w:p w14:paraId="20F18FF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Entrepreneurs and innovators in the technology sector may see the potential for leveraging insights from prime number theory to develop new algorithms, optimize computational processes, or enhance digital security solutions. They may be interested in supporting projects that offer opportunities for collaboration or potential commercialization.</w:t>
            </w:r>
          </w:p>
        </w:tc>
        <w:tc>
          <w:tcPr>
            <w:tcW w:w="2566" w:type="dxa"/>
            <w:tcBorders>
              <w:top w:val="nil"/>
              <w:left w:val="nil"/>
              <w:bottom w:val="single" w:sz="4" w:space="0" w:color="auto"/>
              <w:right w:val="single" w:sz="4" w:space="0" w:color="auto"/>
            </w:tcBorders>
            <w:shd w:val="clear" w:color="auto" w:fill="auto"/>
            <w:hideMark/>
          </w:tcPr>
          <w:p w14:paraId="6E2DA5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8E3CD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487FF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567DE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2128E51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E9FC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A6212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2C15B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D2A67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Steve Jobs: </w:t>
            </w:r>
          </w:p>
        </w:tc>
        <w:tc>
          <w:tcPr>
            <w:tcW w:w="6762" w:type="dxa"/>
            <w:tcBorders>
              <w:top w:val="nil"/>
              <w:left w:val="nil"/>
              <w:bottom w:val="single" w:sz="4" w:space="0" w:color="auto"/>
              <w:right w:val="single" w:sz="4" w:space="0" w:color="auto"/>
            </w:tcBorders>
            <w:shd w:val="clear" w:color="auto" w:fill="auto"/>
            <w:hideMark/>
          </w:tcPr>
          <w:p w14:paraId="0249A93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Co-founder of Apple Inc. and a visionary entrepreneur known for his innovative products such as the iPhone, iPad, and Macintosh computer. Jobs's emphasis on design, user experience, and technological innovation has inspired generations of tech innovators and entrepreneurs to push the boundaries of what's possible in technology.</w:t>
            </w:r>
          </w:p>
        </w:tc>
        <w:tc>
          <w:tcPr>
            <w:tcW w:w="2566" w:type="dxa"/>
            <w:tcBorders>
              <w:top w:val="nil"/>
              <w:left w:val="nil"/>
              <w:bottom w:val="single" w:sz="4" w:space="0" w:color="auto"/>
              <w:right w:val="single" w:sz="4" w:space="0" w:color="auto"/>
            </w:tcBorders>
            <w:shd w:val="clear" w:color="auto" w:fill="auto"/>
            <w:hideMark/>
          </w:tcPr>
          <w:p w14:paraId="5EEC3B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70C7F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B52F2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203D8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Mark Zuckerberg: </w:t>
            </w:r>
          </w:p>
        </w:tc>
        <w:tc>
          <w:tcPr>
            <w:tcW w:w="6762" w:type="dxa"/>
            <w:tcBorders>
              <w:top w:val="nil"/>
              <w:left w:val="nil"/>
              <w:bottom w:val="single" w:sz="4" w:space="0" w:color="auto"/>
              <w:right w:val="single" w:sz="4" w:space="0" w:color="auto"/>
            </w:tcBorders>
            <w:shd w:val="clear" w:color="auto" w:fill="auto"/>
            <w:hideMark/>
          </w:tcPr>
          <w:p w14:paraId="77E50D7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Co-founder and CEO of Facebook, Zuckerberg is a prominent figure in the technology industry known for his entrepreneurial vision and leadership in social networking. His success in building Facebook into one of the world's largest social media platforms has established him as a leading innovator and entrepreneur in the digital age.</w:t>
            </w:r>
          </w:p>
        </w:tc>
        <w:tc>
          <w:tcPr>
            <w:tcW w:w="2566" w:type="dxa"/>
            <w:tcBorders>
              <w:top w:val="nil"/>
              <w:left w:val="nil"/>
              <w:bottom w:val="single" w:sz="4" w:space="0" w:color="auto"/>
              <w:right w:val="single" w:sz="4" w:space="0" w:color="auto"/>
            </w:tcBorders>
            <w:shd w:val="clear" w:color="auto" w:fill="auto"/>
            <w:hideMark/>
          </w:tcPr>
          <w:p w14:paraId="2942EC5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48A2B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CB39E0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C249D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Elon Musk: </w:t>
            </w:r>
          </w:p>
        </w:tc>
        <w:tc>
          <w:tcPr>
            <w:tcW w:w="6762" w:type="dxa"/>
            <w:tcBorders>
              <w:top w:val="nil"/>
              <w:left w:val="nil"/>
              <w:bottom w:val="single" w:sz="4" w:space="0" w:color="auto"/>
              <w:right w:val="single" w:sz="4" w:space="0" w:color="auto"/>
            </w:tcBorders>
            <w:shd w:val="clear" w:color="auto" w:fill="auto"/>
            <w:hideMark/>
          </w:tcPr>
          <w:p w14:paraId="759761A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CEO of SpaceX, Tesla, and Neuralink, Musk is a serial entrepreneur and innovator known for his ambitious projects to revolutionize space exploration, transportation, and artificial intelligence. His ventures reflect a commitment to pushing the boundaries of innovation and technology to address pressing global challenges.</w:t>
            </w:r>
          </w:p>
        </w:tc>
        <w:tc>
          <w:tcPr>
            <w:tcW w:w="2566" w:type="dxa"/>
            <w:tcBorders>
              <w:top w:val="nil"/>
              <w:left w:val="nil"/>
              <w:bottom w:val="single" w:sz="4" w:space="0" w:color="auto"/>
              <w:right w:val="single" w:sz="4" w:space="0" w:color="auto"/>
            </w:tcBorders>
            <w:shd w:val="clear" w:color="auto" w:fill="auto"/>
            <w:hideMark/>
          </w:tcPr>
          <w:p w14:paraId="4B8ACF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D13BD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965E0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A22AC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0750E8C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5FE8F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CDAFF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2F168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437FB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Tech Startups: </w:t>
            </w:r>
          </w:p>
        </w:tc>
        <w:tc>
          <w:tcPr>
            <w:tcW w:w="6762" w:type="dxa"/>
            <w:tcBorders>
              <w:top w:val="nil"/>
              <w:left w:val="nil"/>
              <w:bottom w:val="single" w:sz="4" w:space="0" w:color="auto"/>
              <w:right w:val="single" w:sz="4" w:space="0" w:color="auto"/>
            </w:tcBorders>
            <w:shd w:val="clear" w:color="auto" w:fill="auto"/>
            <w:hideMark/>
          </w:tcPr>
          <w:p w14:paraId="52889C8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Entrepreneurs and founders of technology startups are driven by a desire to disrupt industries, solve problems, and create innovative solutions using technology. They are interested in projects that offer novel insights, cutting-edge technologies, and strategic partnerships to accelerate product development, scale their businesses, and gain a competitive edge in the market.</w:t>
            </w:r>
          </w:p>
        </w:tc>
        <w:tc>
          <w:tcPr>
            <w:tcW w:w="2566" w:type="dxa"/>
            <w:tcBorders>
              <w:top w:val="nil"/>
              <w:left w:val="nil"/>
              <w:bottom w:val="single" w:sz="4" w:space="0" w:color="auto"/>
              <w:right w:val="single" w:sz="4" w:space="0" w:color="auto"/>
            </w:tcBorders>
            <w:shd w:val="clear" w:color="auto" w:fill="auto"/>
            <w:hideMark/>
          </w:tcPr>
          <w:p w14:paraId="5DE9AE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9997D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5E4D98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7A8D8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Venture Capitalists: </w:t>
            </w:r>
          </w:p>
        </w:tc>
        <w:tc>
          <w:tcPr>
            <w:tcW w:w="6762" w:type="dxa"/>
            <w:tcBorders>
              <w:top w:val="nil"/>
              <w:left w:val="nil"/>
              <w:bottom w:val="single" w:sz="4" w:space="0" w:color="auto"/>
              <w:right w:val="single" w:sz="4" w:space="0" w:color="auto"/>
            </w:tcBorders>
            <w:shd w:val="clear" w:color="auto" w:fill="auto"/>
            <w:hideMark/>
          </w:tcPr>
          <w:p w14:paraId="23943A5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Investors and venture capitalists play a critical role in funding and supporting early-stage startups and technology companies. They are interested in projects that demonstrate high growth potential, market opportunity, and scalability, as well as a strong team with the expertise and vision to execute the project's goals and objectives.</w:t>
            </w:r>
          </w:p>
        </w:tc>
        <w:tc>
          <w:tcPr>
            <w:tcW w:w="2566" w:type="dxa"/>
            <w:tcBorders>
              <w:top w:val="nil"/>
              <w:left w:val="nil"/>
              <w:bottom w:val="single" w:sz="4" w:space="0" w:color="auto"/>
              <w:right w:val="single" w:sz="4" w:space="0" w:color="auto"/>
            </w:tcBorders>
            <w:shd w:val="clear" w:color="auto" w:fill="auto"/>
            <w:hideMark/>
          </w:tcPr>
          <w:p w14:paraId="088E6A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2AE1E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1638C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023EE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Tech Industry Leaders: </w:t>
            </w:r>
          </w:p>
        </w:tc>
        <w:tc>
          <w:tcPr>
            <w:tcW w:w="6762" w:type="dxa"/>
            <w:tcBorders>
              <w:top w:val="nil"/>
              <w:left w:val="nil"/>
              <w:bottom w:val="single" w:sz="4" w:space="0" w:color="auto"/>
              <w:right w:val="single" w:sz="4" w:space="0" w:color="auto"/>
            </w:tcBorders>
            <w:shd w:val="clear" w:color="auto" w:fill="auto"/>
            <w:hideMark/>
          </w:tcPr>
          <w:p w14:paraId="3833D0A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Executives, innovators, and thought leaders in the technology industry are interested in projects that offer strategic insights, technical expertise, and innovation opportunities to advance their companies' goals and objectives. They seek projects that align with their company's mission, values, and strategic priorities and offer opportunities for collaboration, partnership, or investment.</w:t>
            </w:r>
          </w:p>
        </w:tc>
        <w:tc>
          <w:tcPr>
            <w:tcW w:w="2566" w:type="dxa"/>
            <w:tcBorders>
              <w:top w:val="nil"/>
              <w:left w:val="nil"/>
              <w:bottom w:val="single" w:sz="4" w:space="0" w:color="auto"/>
              <w:right w:val="single" w:sz="4" w:space="0" w:color="auto"/>
            </w:tcBorders>
            <w:shd w:val="clear" w:color="auto" w:fill="auto"/>
            <w:hideMark/>
          </w:tcPr>
          <w:p w14:paraId="36D85B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47CC8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92890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31642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Product Developers and Engineers: </w:t>
            </w:r>
          </w:p>
        </w:tc>
        <w:tc>
          <w:tcPr>
            <w:tcW w:w="6762" w:type="dxa"/>
            <w:tcBorders>
              <w:top w:val="nil"/>
              <w:left w:val="nil"/>
              <w:bottom w:val="single" w:sz="4" w:space="0" w:color="auto"/>
              <w:right w:val="single" w:sz="4" w:space="0" w:color="auto"/>
            </w:tcBorders>
            <w:shd w:val="clear" w:color="auto" w:fill="auto"/>
            <w:hideMark/>
          </w:tcPr>
          <w:p w14:paraId="15DBDB7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Product managers, developers, and engineers working in technology companies are interested in projects that offer practical solutions, innovative technologies, and strategic insights to enhance their products and services. They seek projects that address key technical challenges, optimize performance, and deliver value to customers through cutting-edge technologies and innovative features.</w:t>
            </w:r>
          </w:p>
        </w:tc>
        <w:tc>
          <w:tcPr>
            <w:tcW w:w="2566" w:type="dxa"/>
            <w:tcBorders>
              <w:top w:val="nil"/>
              <w:left w:val="nil"/>
              <w:bottom w:val="single" w:sz="4" w:space="0" w:color="auto"/>
              <w:right w:val="single" w:sz="4" w:space="0" w:color="auto"/>
            </w:tcBorders>
            <w:shd w:val="clear" w:color="auto" w:fill="auto"/>
            <w:hideMark/>
          </w:tcPr>
          <w:p w14:paraId="2E7E95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0F9D3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27EF6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C22AB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Strategies:</w:t>
            </w:r>
          </w:p>
        </w:tc>
        <w:tc>
          <w:tcPr>
            <w:tcW w:w="6762" w:type="dxa"/>
            <w:tcBorders>
              <w:top w:val="nil"/>
              <w:left w:val="nil"/>
              <w:bottom w:val="single" w:sz="4" w:space="0" w:color="auto"/>
              <w:right w:val="single" w:sz="4" w:space="0" w:color="auto"/>
            </w:tcBorders>
            <w:shd w:val="clear" w:color="auto" w:fill="auto"/>
            <w:hideMark/>
          </w:tcPr>
          <w:p w14:paraId="22EE8A0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30E6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11A4B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9105E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06C59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Innovation Workshops and Hackathons: </w:t>
            </w:r>
          </w:p>
        </w:tc>
        <w:tc>
          <w:tcPr>
            <w:tcW w:w="6762" w:type="dxa"/>
            <w:tcBorders>
              <w:top w:val="nil"/>
              <w:left w:val="nil"/>
              <w:bottom w:val="single" w:sz="4" w:space="0" w:color="auto"/>
              <w:right w:val="single" w:sz="4" w:space="0" w:color="auto"/>
            </w:tcBorders>
            <w:shd w:val="clear" w:color="auto" w:fill="auto"/>
            <w:hideMark/>
          </w:tcPr>
          <w:p w14:paraId="32D82C2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innovation workshops, hackathons, and ideation sessions to engage tech innovators and entrepreneurs and stimulate creative thinking, collaboration, and problem-solving. Provide opportunities for participants to explore new ideas, experiment with emerging technologies, and develop innovative solutions leveraging insights from prime number theory.</w:t>
            </w:r>
          </w:p>
        </w:tc>
        <w:tc>
          <w:tcPr>
            <w:tcW w:w="2566" w:type="dxa"/>
            <w:tcBorders>
              <w:top w:val="nil"/>
              <w:left w:val="nil"/>
              <w:bottom w:val="single" w:sz="4" w:space="0" w:color="auto"/>
              <w:right w:val="single" w:sz="4" w:space="0" w:color="auto"/>
            </w:tcBorders>
            <w:shd w:val="clear" w:color="auto" w:fill="auto"/>
            <w:hideMark/>
          </w:tcPr>
          <w:p w14:paraId="2A234B6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3514D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AE7B2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C06BA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Strategic Partnerships and Collaborations: </w:t>
            </w:r>
          </w:p>
        </w:tc>
        <w:tc>
          <w:tcPr>
            <w:tcW w:w="6762" w:type="dxa"/>
            <w:tcBorders>
              <w:top w:val="nil"/>
              <w:left w:val="nil"/>
              <w:bottom w:val="single" w:sz="4" w:space="0" w:color="auto"/>
              <w:right w:val="single" w:sz="4" w:space="0" w:color="auto"/>
            </w:tcBorders>
            <w:shd w:val="clear" w:color="auto" w:fill="auto"/>
            <w:hideMark/>
          </w:tcPr>
          <w:p w14:paraId="51EEB6A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Forge strategic partnerships and collaborations with technology companies, startup accelerators, and innovation hubs to leverage their networks, resources, and expertise to advance the project's goals and objectives. Collaborate on joint research projects, technology transfer initiatives, and product development efforts to drive innovation and create value for customers and stakeholders.</w:t>
            </w:r>
          </w:p>
        </w:tc>
        <w:tc>
          <w:tcPr>
            <w:tcW w:w="2566" w:type="dxa"/>
            <w:tcBorders>
              <w:top w:val="nil"/>
              <w:left w:val="nil"/>
              <w:bottom w:val="single" w:sz="4" w:space="0" w:color="auto"/>
              <w:right w:val="single" w:sz="4" w:space="0" w:color="auto"/>
            </w:tcBorders>
            <w:shd w:val="clear" w:color="auto" w:fill="auto"/>
            <w:hideMark/>
          </w:tcPr>
          <w:p w14:paraId="4DE27F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654C2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06D91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68B04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Pitch Competitions and Investor Meetings: </w:t>
            </w:r>
          </w:p>
        </w:tc>
        <w:tc>
          <w:tcPr>
            <w:tcW w:w="6762" w:type="dxa"/>
            <w:tcBorders>
              <w:top w:val="nil"/>
              <w:left w:val="nil"/>
              <w:bottom w:val="single" w:sz="4" w:space="0" w:color="auto"/>
              <w:right w:val="single" w:sz="4" w:space="0" w:color="auto"/>
            </w:tcBorders>
            <w:shd w:val="clear" w:color="auto" w:fill="auto"/>
            <w:hideMark/>
          </w:tcPr>
          <w:p w14:paraId="593FE16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Participate in pitch competitions, investor meetings, and startup events to showcase the project's potential, attract investment, and build relationships with investors, venture capitalists, and industry leaders. Craft compelling pitches, presentations, and demos to communicate the project's value proposition, market opportunity, and growth potential to potential investors and partners.</w:t>
            </w:r>
          </w:p>
        </w:tc>
        <w:tc>
          <w:tcPr>
            <w:tcW w:w="2566" w:type="dxa"/>
            <w:tcBorders>
              <w:top w:val="nil"/>
              <w:left w:val="nil"/>
              <w:bottom w:val="single" w:sz="4" w:space="0" w:color="auto"/>
              <w:right w:val="single" w:sz="4" w:space="0" w:color="auto"/>
            </w:tcBorders>
            <w:shd w:val="clear" w:color="auto" w:fill="auto"/>
            <w:hideMark/>
          </w:tcPr>
          <w:p w14:paraId="02B6C9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5E600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E26F9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2CDE0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Technology Transfer and Commercialization: </w:t>
            </w:r>
          </w:p>
        </w:tc>
        <w:tc>
          <w:tcPr>
            <w:tcW w:w="6762" w:type="dxa"/>
            <w:tcBorders>
              <w:top w:val="nil"/>
              <w:left w:val="nil"/>
              <w:bottom w:val="single" w:sz="4" w:space="0" w:color="auto"/>
              <w:right w:val="single" w:sz="4" w:space="0" w:color="auto"/>
            </w:tcBorders>
            <w:shd w:val="clear" w:color="auto" w:fill="auto"/>
            <w:hideMark/>
          </w:tcPr>
          <w:p w14:paraId="2C4FAEC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Explore opportunities for technology transfer and commercialization by licensing the project's intellectual property, patents, or proprietary technologies to technology companies, research institutions, or government agencies. Collaborate with industry partners to develop commercial products, services, or applications based on insights from prime number theory and secure partnerships or investments to bring them to market.</w:t>
            </w:r>
          </w:p>
        </w:tc>
        <w:tc>
          <w:tcPr>
            <w:tcW w:w="2566" w:type="dxa"/>
            <w:tcBorders>
              <w:top w:val="nil"/>
              <w:left w:val="nil"/>
              <w:bottom w:val="single" w:sz="4" w:space="0" w:color="auto"/>
              <w:right w:val="single" w:sz="4" w:space="0" w:color="auto"/>
            </w:tcBorders>
            <w:shd w:val="clear" w:color="auto" w:fill="auto"/>
            <w:hideMark/>
          </w:tcPr>
          <w:p w14:paraId="07F1E8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0A196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D96DB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6D2AE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0A14E51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EA5B4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80D41F"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1C7D06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6CF33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BB80D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tech innovators and entrepreneurs represent a dynamic and forward-thinking audience with a keen interest in leveraging insights from prime number theory to drive innovation, solve problems, and create value in the technology industry. By understanding the unique needs and priorities of this audience and implementing targeted engagement strategies, the PrimeBookOne Project can effectively connect with and mobilize tech innovators and entrepreneurs to support its goals and objectives.</w:t>
            </w:r>
          </w:p>
        </w:tc>
        <w:tc>
          <w:tcPr>
            <w:tcW w:w="2566" w:type="dxa"/>
            <w:tcBorders>
              <w:top w:val="nil"/>
              <w:left w:val="nil"/>
              <w:bottom w:val="single" w:sz="4" w:space="0" w:color="auto"/>
              <w:right w:val="single" w:sz="4" w:space="0" w:color="auto"/>
            </w:tcBorders>
            <w:shd w:val="clear" w:color="auto" w:fill="auto"/>
            <w:hideMark/>
          </w:tcPr>
          <w:p w14:paraId="054A75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5E6DC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D5661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F127A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8B9CF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A10B0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259BB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AA6FE9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33815AF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6. General Public: </w:t>
            </w:r>
          </w:p>
        </w:tc>
        <w:tc>
          <w:tcPr>
            <w:tcW w:w="6762" w:type="dxa"/>
            <w:tcBorders>
              <w:top w:val="nil"/>
              <w:left w:val="nil"/>
              <w:bottom w:val="single" w:sz="4" w:space="0" w:color="auto"/>
              <w:right w:val="single" w:sz="4" w:space="0" w:color="auto"/>
            </w:tcBorders>
            <w:shd w:val="clear" w:color="auto" w:fill="auto"/>
            <w:hideMark/>
          </w:tcPr>
          <w:p w14:paraId="048AADF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While the general public may not have a deep understanding of prime number theory, there may still be individuals who are intrigued by the intellectual challenge of the research or the potential societal impact of advancing mathematical knowledge. By framing the project in accessible language and emphasizing its broader significance, you can engage a wider audience in supporting the campaign.</w:t>
            </w:r>
          </w:p>
        </w:tc>
        <w:tc>
          <w:tcPr>
            <w:tcW w:w="2566" w:type="dxa"/>
            <w:tcBorders>
              <w:top w:val="nil"/>
              <w:left w:val="nil"/>
              <w:bottom w:val="single" w:sz="4" w:space="0" w:color="auto"/>
              <w:right w:val="single" w:sz="4" w:space="0" w:color="auto"/>
            </w:tcBorders>
            <w:shd w:val="clear" w:color="auto" w:fill="auto"/>
            <w:hideMark/>
          </w:tcPr>
          <w:p w14:paraId="57408B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5502C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7D3C6E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8326D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2C7627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BE49C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94709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458D7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5E73B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Bill Nye: </w:t>
            </w:r>
          </w:p>
        </w:tc>
        <w:tc>
          <w:tcPr>
            <w:tcW w:w="6762" w:type="dxa"/>
            <w:tcBorders>
              <w:top w:val="nil"/>
              <w:left w:val="nil"/>
              <w:bottom w:val="single" w:sz="4" w:space="0" w:color="auto"/>
              <w:right w:val="single" w:sz="4" w:space="0" w:color="auto"/>
            </w:tcBorders>
            <w:shd w:val="clear" w:color="auto" w:fill="auto"/>
            <w:hideMark/>
          </w:tcPr>
          <w:p w14:paraId="4589BD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Known as "Bill Nye the Science Guy," Nye is a science educator, television presenter, and mechanical engineer. His enthusiasm for science and engaging communication style has made him a popular figure among the general public, inspiring curiosity and interest in scientific concepts and discoveries.</w:t>
            </w:r>
          </w:p>
        </w:tc>
        <w:tc>
          <w:tcPr>
            <w:tcW w:w="2566" w:type="dxa"/>
            <w:tcBorders>
              <w:top w:val="nil"/>
              <w:left w:val="nil"/>
              <w:bottom w:val="single" w:sz="4" w:space="0" w:color="auto"/>
              <w:right w:val="single" w:sz="4" w:space="0" w:color="auto"/>
            </w:tcBorders>
            <w:shd w:val="clear" w:color="auto" w:fill="auto"/>
            <w:hideMark/>
          </w:tcPr>
          <w:p w14:paraId="503B5E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38DCF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9B036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260C0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Brian Greene: </w:t>
            </w:r>
          </w:p>
        </w:tc>
        <w:tc>
          <w:tcPr>
            <w:tcW w:w="6762" w:type="dxa"/>
            <w:tcBorders>
              <w:top w:val="nil"/>
              <w:left w:val="nil"/>
              <w:bottom w:val="single" w:sz="4" w:space="0" w:color="auto"/>
              <w:right w:val="single" w:sz="4" w:space="0" w:color="auto"/>
            </w:tcBorders>
            <w:shd w:val="clear" w:color="auto" w:fill="auto"/>
            <w:hideMark/>
          </w:tcPr>
          <w:p w14:paraId="16A86D7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theoretical physicist and author known for his work in string theory and popular science communication. Greene's ability to explain complex scientific concepts in accessible language has made him a prominent advocate for science literacy and public engagement with scientific research.</w:t>
            </w:r>
          </w:p>
        </w:tc>
        <w:tc>
          <w:tcPr>
            <w:tcW w:w="2566" w:type="dxa"/>
            <w:tcBorders>
              <w:top w:val="nil"/>
              <w:left w:val="nil"/>
              <w:bottom w:val="single" w:sz="4" w:space="0" w:color="auto"/>
              <w:right w:val="single" w:sz="4" w:space="0" w:color="auto"/>
            </w:tcBorders>
            <w:shd w:val="clear" w:color="auto" w:fill="auto"/>
            <w:hideMark/>
          </w:tcPr>
          <w:p w14:paraId="567C50E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01FE5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2813C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EBABF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Carl Sagan: </w:t>
            </w:r>
          </w:p>
        </w:tc>
        <w:tc>
          <w:tcPr>
            <w:tcW w:w="6762" w:type="dxa"/>
            <w:tcBorders>
              <w:top w:val="nil"/>
              <w:left w:val="nil"/>
              <w:bottom w:val="single" w:sz="4" w:space="0" w:color="auto"/>
              <w:right w:val="single" w:sz="4" w:space="0" w:color="auto"/>
            </w:tcBorders>
            <w:shd w:val="clear" w:color="auto" w:fill="auto"/>
            <w:hideMark/>
          </w:tcPr>
          <w:p w14:paraId="063088E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renowned astronomer, cosmologist, and science communicator, Sagan was a pioneer in popularizing science through books, television, and public lectures. His series "Cosmos: A Personal Voyage" captivated audiences worldwide and instilled a sense of wonder and curiosity about the universe and scientific exploration.</w:t>
            </w:r>
          </w:p>
        </w:tc>
        <w:tc>
          <w:tcPr>
            <w:tcW w:w="2566" w:type="dxa"/>
            <w:tcBorders>
              <w:top w:val="nil"/>
              <w:left w:val="nil"/>
              <w:bottom w:val="single" w:sz="4" w:space="0" w:color="auto"/>
              <w:right w:val="single" w:sz="4" w:space="0" w:color="auto"/>
            </w:tcBorders>
            <w:shd w:val="clear" w:color="auto" w:fill="auto"/>
            <w:hideMark/>
          </w:tcPr>
          <w:p w14:paraId="0F0006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60C1D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A8681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1E4E2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26A978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8564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C4838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0F9A8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B5BA6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Curious Learners: </w:t>
            </w:r>
          </w:p>
        </w:tc>
        <w:tc>
          <w:tcPr>
            <w:tcW w:w="6762" w:type="dxa"/>
            <w:tcBorders>
              <w:top w:val="nil"/>
              <w:left w:val="nil"/>
              <w:bottom w:val="single" w:sz="4" w:space="0" w:color="auto"/>
              <w:right w:val="single" w:sz="4" w:space="0" w:color="auto"/>
            </w:tcBorders>
            <w:shd w:val="clear" w:color="auto" w:fill="auto"/>
            <w:hideMark/>
          </w:tcPr>
          <w:p w14:paraId="5ABD35D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Individuals who have a general interest in learning and exploring new ideas, concepts, and discoveries may be intrigued by the intellectual challenge of prime number theory and its broader implications for mathematical understanding and scientific inquiry. They seek projects that offer educational value, intellectual stimulation, and opportunities for personal growth and discovery.</w:t>
            </w:r>
          </w:p>
        </w:tc>
        <w:tc>
          <w:tcPr>
            <w:tcW w:w="2566" w:type="dxa"/>
            <w:tcBorders>
              <w:top w:val="nil"/>
              <w:left w:val="nil"/>
              <w:bottom w:val="single" w:sz="4" w:space="0" w:color="auto"/>
              <w:right w:val="single" w:sz="4" w:space="0" w:color="auto"/>
            </w:tcBorders>
            <w:shd w:val="clear" w:color="auto" w:fill="auto"/>
            <w:hideMark/>
          </w:tcPr>
          <w:p w14:paraId="27C7884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1F2FD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9F5D9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93FAB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Science Enthusiasts: </w:t>
            </w:r>
          </w:p>
        </w:tc>
        <w:tc>
          <w:tcPr>
            <w:tcW w:w="6762" w:type="dxa"/>
            <w:tcBorders>
              <w:top w:val="nil"/>
              <w:left w:val="nil"/>
              <w:bottom w:val="single" w:sz="4" w:space="0" w:color="auto"/>
              <w:right w:val="single" w:sz="4" w:space="0" w:color="auto"/>
            </w:tcBorders>
            <w:shd w:val="clear" w:color="auto" w:fill="auto"/>
            <w:hideMark/>
          </w:tcPr>
          <w:p w14:paraId="430562F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Amateur scientists, science enthusiasts, and lifelong learners are interested in projects that promote scientific literacy, critical thinking, and curiosity about the natural world. They appreciate projects that offer engaging content, accessible explanations, and opportunities for hands-on learning and exploration.</w:t>
            </w:r>
          </w:p>
        </w:tc>
        <w:tc>
          <w:tcPr>
            <w:tcW w:w="2566" w:type="dxa"/>
            <w:tcBorders>
              <w:top w:val="nil"/>
              <w:left w:val="nil"/>
              <w:bottom w:val="single" w:sz="4" w:space="0" w:color="auto"/>
              <w:right w:val="single" w:sz="4" w:space="0" w:color="auto"/>
            </w:tcBorders>
            <w:shd w:val="clear" w:color="auto" w:fill="auto"/>
            <w:hideMark/>
          </w:tcPr>
          <w:p w14:paraId="40B38C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C2D03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E7B9A8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E33EA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Social Impact Advocates: </w:t>
            </w:r>
          </w:p>
        </w:tc>
        <w:tc>
          <w:tcPr>
            <w:tcW w:w="6762" w:type="dxa"/>
            <w:tcBorders>
              <w:top w:val="nil"/>
              <w:left w:val="nil"/>
              <w:bottom w:val="single" w:sz="4" w:space="0" w:color="auto"/>
              <w:right w:val="single" w:sz="4" w:space="0" w:color="auto"/>
            </w:tcBorders>
            <w:shd w:val="clear" w:color="auto" w:fill="auto"/>
            <w:hideMark/>
          </w:tcPr>
          <w:p w14:paraId="56E8375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Individuals who are passionate about making a positive difference in society and addressing pressing global challenges may be interested in projects that have the potential to advance scientific knowledge, promote education, or address societal issues. They seek projects that offer tangible benefits, meaningful outcomes, and opportunities for social impact and community engagement.</w:t>
            </w:r>
          </w:p>
        </w:tc>
        <w:tc>
          <w:tcPr>
            <w:tcW w:w="2566" w:type="dxa"/>
            <w:tcBorders>
              <w:top w:val="nil"/>
              <w:left w:val="nil"/>
              <w:bottom w:val="single" w:sz="4" w:space="0" w:color="auto"/>
              <w:right w:val="single" w:sz="4" w:space="0" w:color="auto"/>
            </w:tcBorders>
            <w:shd w:val="clear" w:color="auto" w:fill="auto"/>
            <w:hideMark/>
          </w:tcPr>
          <w:p w14:paraId="259F92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8194F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DBAF14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C5F64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Supporters of Education and Research: </w:t>
            </w:r>
          </w:p>
        </w:tc>
        <w:tc>
          <w:tcPr>
            <w:tcW w:w="6762" w:type="dxa"/>
            <w:tcBorders>
              <w:top w:val="nil"/>
              <w:left w:val="nil"/>
              <w:bottom w:val="single" w:sz="4" w:space="0" w:color="auto"/>
              <w:right w:val="single" w:sz="4" w:space="0" w:color="auto"/>
            </w:tcBorders>
            <w:shd w:val="clear" w:color="auto" w:fill="auto"/>
            <w:hideMark/>
          </w:tcPr>
          <w:p w14:paraId="2086977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Advocates for education, research, and scientific advancement are interested in projects that support academic institutions, research organizations, and educational initiatives. They value projects that promote lifelong learning, intellectual curiosity, and the pursuit of knowledge for the betterment of society and future generations.</w:t>
            </w:r>
          </w:p>
        </w:tc>
        <w:tc>
          <w:tcPr>
            <w:tcW w:w="2566" w:type="dxa"/>
            <w:tcBorders>
              <w:top w:val="nil"/>
              <w:left w:val="nil"/>
              <w:bottom w:val="single" w:sz="4" w:space="0" w:color="auto"/>
              <w:right w:val="single" w:sz="4" w:space="0" w:color="auto"/>
            </w:tcBorders>
            <w:shd w:val="clear" w:color="auto" w:fill="auto"/>
            <w:hideMark/>
          </w:tcPr>
          <w:p w14:paraId="666E03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C171B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73C821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57E60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Strategies:</w:t>
            </w:r>
          </w:p>
        </w:tc>
        <w:tc>
          <w:tcPr>
            <w:tcW w:w="6762" w:type="dxa"/>
            <w:tcBorders>
              <w:top w:val="nil"/>
              <w:left w:val="nil"/>
              <w:bottom w:val="single" w:sz="4" w:space="0" w:color="auto"/>
              <w:right w:val="single" w:sz="4" w:space="0" w:color="auto"/>
            </w:tcBorders>
            <w:shd w:val="clear" w:color="auto" w:fill="auto"/>
            <w:hideMark/>
          </w:tcPr>
          <w:p w14:paraId="3220789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2BE9E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F78AF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9339C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15DD5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Public Lectures and Outreach Events: </w:t>
            </w:r>
          </w:p>
        </w:tc>
        <w:tc>
          <w:tcPr>
            <w:tcW w:w="6762" w:type="dxa"/>
            <w:tcBorders>
              <w:top w:val="nil"/>
              <w:left w:val="nil"/>
              <w:bottom w:val="single" w:sz="4" w:space="0" w:color="auto"/>
              <w:right w:val="single" w:sz="4" w:space="0" w:color="auto"/>
            </w:tcBorders>
            <w:shd w:val="clear" w:color="auto" w:fill="auto"/>
            <w:hideMark/>
          </w:tcPr>
          <w:p w14:paraId="6DDA4E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public lectures, science festivals, and community outreach events to engage the general public and raise awareness about prime number theory and its significance. Use engaging presentations, interactive demonstrations, and multimedia resources to make the research accessible and engaging to audiences of all ages and backgrounds.</w:t>
            </w:r>
          </w:p>
        </w:tc>
        <w:tc>
          <w:tcPr>
            <w:tcW w:w="2566" w:type="dxa"/>
            <w:tcBorders>
              <w:top w:val="nil"/>
              <w:left w:val="nil"/>
              <w:bottom w:val="single" w:sz="4" w:space="0" w:color="auto"/>
              <w:right w:val="single" w:sz="4" w:space="0" w:color="auto"/>
            </w:tcBorders>
            <w:shd w:val="clear" w:color="auto" w:fill="auto"/>
            <w:hideMark/>
          </w:tcPr>
          <w:p w14:paraId="6B020E9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B064AD"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B9A9E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BDFD5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Science Communication Platforms: </w:t>
            </w:r>
          </w:p>
        </w:tc>
        <w:tc>
          <w:tcPr>
            <w:tcW w:w="6762" w:type="dxa"/>
            <w:tcBorders>
              <w:top w:val="nil"/>
              <w:left w:val="nil"/>
              <w:bottom w:val="single" w:sz="4" w:space="0" w:color="auto"/>
              <w:right w:val="single" w:sz="4" w:space="0" w:color="auto"/>
            </w:tcBorders>
            <w:shd w:val="clear" w:color="auto" w:fill="auto"/>
            <w:hideMark/>
          </w:tcPr>
          <w:p w14:paraId="74ABEE3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science communication platforms, such as science blogs, podcasts, and social media channels, to share updates, insights, and stories about prime number theory and its broader implications for mathematical understanding and scientific exploration. Create engaging content, such as articles, videos, and infographics, to spark curiosity and foster dialogue among the general public.</w:t>
            </w:r>
          </w:p>
        </w:tc>
        <w:tc>
          <w:tcPr>
            <w:tcW w:w="2566" w:type="dxa"/>
            <w:tcBorders>
              <w:top w:val="nil"/>
              <w:left w:val="nil"/>
              <w:bottom w:val="single" w:sz="4" w:space="0" w:color="auto"/>
              <w:right w:val="single" w:sz="4" w:space="0" w:color="auto"/>
            </w:tcBorders>
            <w:shd w:val="clear" w:color="auto" w:fill="auto"/>
            <w:hideMark/>
          </w:tcPr>
          <w:p w14:paraId="02DE42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1AD51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11310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69EC5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Educational Resources and Activities: </w:t>
            </w:r>
          </w:p>
        </w:tc>
        <w:tc>
          <w:tcPr>
            <w:tcW w:w="6762" w:type="dxa"/>
            <w:tcBorders>
              <w:top w:val="nil"/>
              <w:left w:val="nil"/>
              <w:bottom w:val="single" w:sz="4" w:space="0" w:color="auto"/>
              <w:right w:val="single" w:sz="4" w:space="0" w:color="auto"/>
            </w:tcBorders>
            <w:shd w:val="clear" w:color="auto" w:fill="auto"/>
            <w:hideMark/>
          </w:tcPr>
          <w:p w14:paraId="619C3E5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educational resources, lesson plans, and hands-on activities that introduce basic concepts of prime number theory and encourage exploration and discovery. Collaborate with educators, science centers, and museums to distribute educational materials and facilitate engaging learning experiences for students and lifelong learners.</w:t>
            </w:r>
          </w:p>
        </w:tc>
        <w:tc>
          <w:tcPr>
            <w:tcW w:w="2566" w:type="dxa"/>
            <w:tcBorders>
              <w:top w:val="nil"/>
              <w:left w:val="nil"/>
              <w:bottom w:val="single" w:sz="4" w:space="0" w:color="auto"/>
              <w:right w:val="single" w:sz="4" w:space="0" w:color="auto"/>
            </w:tcBorders>
            <w:shd w:val="clear" w:color="auto" w:fill="auto"/>
            <w:hideMark/>
          </w:tcPr>
          <w:p w14:paraId="421051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A2036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B6D62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570A8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Citizen Science Projects: </w:t>
            </w:r>
          </w:p>
        </w:tc>
        <w:tc>
          <w:tcPr>
            <w:tcW w:w="6762" w:type="dxa"/>
            <w:tcBorders>
              <w:top w:val="nil"/>
              <w:left w:val="nil"/>
              <w:bottom w:val="single" w:sz="4" w:space="0" w:color="auto"/>
              <w:right w:val="single" w:sz="4" w:space="0" w:color="auto"/>
            </w:tcBorders>
            <w:shd w:val="clear" w:color="auto" w:fill="auto"/>
            <w:hideMark/>
          </w:tcPr>
          <w:p w14:paraId="0C3C92C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Engage the general public in citizen science projects that involve crowdsourcing data collection, analysis, or problem-solving tasks related to prime number theory. Encourage participation from amateur scientists, hobbyists, and curious individuals who are eager to contribute to scientific research and discovery in meaningful ways.</w:t>
            </w:r>
          </w:p>
        </w:tc>
        <w:tc>
          <w:tcPr>
            <w:tcW w:w="2566" w:type="dxa"/>
            <w:tcBorders>
              <w:top w:val="nil"/>
              <w:left w:val="nil"/>
              <w:bottom w:val="single" w:sz="4" w:space="0" w:color="auto"/>
              <w:right w:val="single" w:sz="4" w:space="0" w:color="auto"/>
            </w:tcBorders>
            <w:shd w:val="clear" w:color="auto" w:fill="auto"/>
            <w:hideMark/>
          </w:tcPr>
          <w:p w14:paraId="0AD872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FD754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E69E1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EEB73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6F74EA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89089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6DF70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58811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08188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1A1044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general public represents a diverse and engaged audience with varying levels of interest and understanding in scientific concepts and discoveries. By framing the PrimeBookOne Project in accessible language and emphasizing its broader significance for mathematical understanding and scientific exploration, the project can effectively engage a wider audience in supporting its goals and objectives.</w:t>
            </w:r>
          </w:p>
        </w:tc>
        <w:tc>
          <w:tcPr>
            <w:tcW w:w="2566" w:type="dxa"/>
            <w:tcBorders>
              <w:top w:val="nil"/>
              <w:left w:val="nil"/>
              <w:bottom w:val="single" w:sz="4" w:space="0" w:color="auto"/>
              <w:right w:val="single" w:sz="4" w:space="0" w:color="auto"/>
            </w:tcBorders>
            <w:shd w:val="clear" w:color="auto" w:fill="auto"/>
            <w:hideMark/>
          </w:tcPr>
          <w:p w14:paraId="392EC5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8476C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FAA1D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2F626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DEF5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844C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B3A4A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ECE4D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7B8A5A5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Philanthropic Organizations: </w:t>
            </w:r>
          </w:p>
        </w:tc>
        <w:tc>
          <w:tcPr>
            <w:tcW w:w="6762" w:type="dxa"/>
            <w:tcBorders>
              <w:top w:val="nil"/>
              <w:left w:val="nil"/>
              <w:bottom w:val="single" w:sz="4" w:space="0" w:color="auto"/>
              <w:right w:val="single" w:sz="4" w:space="0" w:color="auto"/>
            </w:tcBorders>
            <w:shd w:val="clear" w:color="auto" w:fill="auto"/>
            <w:hideMark/>
          </w:tcPr>
          <w:p w14:paraId="05B91C2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Foundations, trusts, and philanthropic organizations that support scientific research, education, or STEM initiatives may also be potential backers for the project. They may be interested in funding projects that align with their mission and have the potential to make significant contributions to advancing knowledge and solving real-world problems.</w:t>
            </w:r>
          </w:p>
        </w:tc>
        <w:tc>
          <w:tcPr>
            <w:tcW w:w="2566" w:type="dxa"/>
            <w:tcBorders>
              <w:top w:val="nil"/>
              <w:left w:val="nil"/>
              <w:bottom w:val="single" w:sz="4" w:space="0" w:color="auto"/>
              <w:right w:val="single" w:sz="4" w:space="0" w:color="auto"/>
            </w:tcBorders>
            <w:shd w:val="clear" w:color="auto" w:fill="auto"/>
            <w:hideMark/>
          </w:tcPr>
          <w:p w14:paraId="297A5F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5FE1A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4C0ED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5C206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154C8B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CA418F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9987F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F6096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7EE1D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09AC03F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2056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C7A07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3025A8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5816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51153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3A771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063AE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A638C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007AE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Bill &amp; Melinda Gates Foundation: </w:t>
            </w:r>
          </w:p>
        </w:tc>
        <w:tc>
          <w:tcPr>
            <w:tcW w:w="6762" w:type="dxa"/>
            <w:tcBorders>
              <w:top w:val="nil"/>
              <w:left w:val="nil"/>
              <w:bottom w:val="single" w:sz="4" w:space="0" w:color="auto"/>
              <w:right w:val="single" w:sz="4" w:space="0" w:color="auto"/>
            </w:tcBorders>
            <w:shd w:val="clear" w:color="auto" w:fill="auto"/>
            <w:hideMark/>
          </w:tcPr>
          <w:p w14:paraId="3578DCB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One of the largest private foundations in the world, dedicated to enhancing healthcare, reducing poverty, and expanding access to education. The foundation funds a wide range of initiatives, including scientific research, technology development, and STEM education programs.</w:t>
            </w:r>
          </w:p>
        </w:tc>
        <w:tc>
          <w:tcPr>
            <w:tcW w:w="2566" w:type="dxa"/>
            <w:tcBorders>
              <w:top w:val="nil"/>
              <w:left w:val="nil"/>
              <w:bottom w:val="single" w:sz="4" w:space="0" w:color="auto"/>
              <w:right w:val="single" w:sz="4" w:space="0" w:color="auto"/>
            </w:tcBorders>
            <w:shd w:val="clear" w:color="auto" w:fill="auto"/>
            <w:hideMark/>
          </w:tcPr>
          <w:p w14:paraId="78B94E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ACC3AE"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20F849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5F783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Chan Zuckerberg Initiative: </w:t>
            </w:r>
          </w:p>
        </w:tc>
        <w:tc>
          <w:tcPr>
            <w:tcW w:w="6762" w:type="dxa"/>
            <w:tcBorders>
              <w:top w:val="nil"/>
              <w:left w:val="nil"/>
              <w:bottom w:val="single" w:sz="4" w:space="0" w:color="auto"/>
              <w:right w:val="single" w:sz="4" w:space="0" w:color="auto"/>
            </w:tcBorders>
            <w:shd w:val="clear" w:color="auto" w:fill="auto"/>
            <w:hideMark/>
          </w:tcPr>
          <w:p w14:paraId="1194AA0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Founded by Mark Zuckerberg, CEO of Facebook, and his wife Priscilla Chan, the initiative aims to advance human potential and promote equality through a combination of philanthropy, impact investing, and advocacy. It supports various initiatives in education, healthcare, and scientific research, with a focus on leveraging technology and innovation to address global challenges.</w:t>
            </w:r>
          </w:p>
        </w:tc>
        <w:tc>
          <w:tcPr>
            <w:tcW w:w="2566" w:type="dxa"/>
            <w:tcBorders>
              <w:top w:val="nil"/>
              <w:left w:val="nil"/>
              <w:bottom w:val="single" w:sz="4" w:space="0" w:color="auto"/>
              <w:right w:val="single" w:sz="4" w:space="0" w:color="auto"/>
            </w:tcBorders>
            <w:shd w:val="clear" w:color="auto" w:fill="auto"/>
            <w:hideMark/>
          </w:tcPr>
          <w:p w14:paraId="0F4ACD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C6B5B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5DBCFB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BD643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Howard Hughes Medical Institute (HHMI): </w:t>
            </w:r>
          </w:p>
        </w:tc>
        <w:tc>
          <w:tcPr>
            <w:tcW w:w="6762" w:type="dxa"/>
            <w:tcBorders>
              <w:top w:val="nil"/>
              <w:left w:val="nil"/>
              <w:bottom w:val="single" w:sz="4" w:space="0" w:color="auto"/>
              <w:right w:val="single" w:sz="4" w:space="0" w:color="auto"/>
            </w:tcBorders>
            <w:shd w:val="clear" w:color="auto" w:fill="auto"/>
            <w:hideMark/>
          </w:tcPr>
          <w:p w14:paraId="38BA9B0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nonprofit medical research organization dedicated to advancing biomedical research and science education. HHMI funds scientific research programs, supports early-career scientists, and promotes STEM education initiatives to inspire the next generation of scientists and innovators.</w:t>
            </w:r>
          </w:p>
        </w:tc>
        <w:tc>
          <w:tcPr>
            <w:tcW w:w="2566" w:type="dxa"/>
            <w:tcBorders>
              <w:top w:val="nil"/>
              <w:left w:val="nil"/>
              <w:bottom w:val="single" w:sz="4" w:space="0" w:color="auto"/>
              <w:right w:val="single" w:sz="4" w:space="0" w:color="auto"/>
            </w:tcBorders>
            <w:shd w:val="clear" w:color="auto" w:fill="auto"/>
            <w:hideMark/>
          </w:tcPr>
          <w:p w14:paraId="69DA17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75718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83730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4625E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285CB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79BD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B089E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691CC6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5C066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4F6F707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13A82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26A93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BA78C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B9B2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02BB8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3E05B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A5F6E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3377AB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6BEBB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Science and Research Foundations: </w:t>
            </w:r>
          </w:p>
        </w:tc>
        <w:tc>
          <w:tcPr>
            <w:tcW w:w="6762" w:type="dxa"/>
            <w:tcBorders>
              <w:top w:val="nil"/>
              <w:left w:val="nil"/>
              <w:bottom w:val="single" w:sz="4" w:space="0" w:color="auto"/>
              <w:right w:val="single" w:sz="4" w:space="0" w:color="auto"/>
            </w:tcBorders>
            <w:shd w:val="clear" w:color="auto" w:fill="auto"/>
            <w:hideMark/>
          </w:tcPr>
          <w:p w14:paraId="513EA3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Foundations and organizations dedicated to advancing scientific research, discovery, and innovation are interested in funding projects that contribute to the advancement of knowledge and understanding in STEM fields. They seek projects that have the potential to generate new insights, drive scientific progress, and address pressing societal challenges through research and discovery.</w:t>
            </w:r>
          </w:p>
        </w:tc>
        <w:tc>
          <w:tcPr>
            <w:tcW w:w="2566" w:type="dxa"/>
            <w:tcBorders>
              <w:top w:val="nil"/>
              <w:left w:val="nil"/>
              <w:bottom w:val="single" w:sz="4" w:space="0" w:color="auto"/>
              <w:right w:val="single" w:sz="4" w:space="0" w:color="auto"/>
            </w:tcBorders>
            <w:shd w:val="clear" w:color="auto" w:fill="auto"/>
            <w:hideMark/>
          </w:tcPr>
          <w:p w14:paraId="6B140F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8CFC8D"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8FD016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2BF3B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Education and STEM Advocacy Groups: </w:t>
            </w:r>
          </w:p>
        </w:tc>
        <w:tc>
          <w:tcPr>
            <w:tcW w:w="6762" w:type="dxa"/>
            <w:tcBorders>
              <w:top w:val="nil"/>
              <w:left w:val="nil"/>
              <w:bottom w:val="single" w:sz="4" w:space="0" w:color="auto"/>
              <w:right w:val="single" w:sz="4" w:space="0" w:color="auto"/>
            </w:tcBorders>
            <w:shd w:val="clear" w:color="auto" w:fill="auto"/>
            <w:hideMark/>
          </w:tcPr>
          <w:p w14:paraId="6A323DE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Organizations and trusts focused on promoting STEM education, literacy, and advocacy are interested in funding projects that support educational initiatives, enhance learning opportunities, and inspire interest and engagement in STEM fields among students, educators, and the general public. They seek projects that offer innovative approaches, effective strategies, and measurable outcomes for improving STEM education and fostering a culture of scientific inquiry and exploration.</w:t>
            </w:r>
          </w:p>
        </w:tc>
        <w:tc>
          <w:tcPr>
            <w:tcW w:w="2566" w:type="dxa"/>
            <w:tcBorders>
              <w:top w:val="nil"/>
              <w:left w:val="nil"/>
              <w:bottom w:val="single" w:sz="4" w:space="0" w:color="auto"/>
              <w:right w:val="single" w:sz="4" w:space="0" w:color="auto"/>
            </w:tcBorders>
            <w:shd w:val="clear" w:color="auto" w:fill="auto"/>
            <w:hideMark/>
          </w:tcPr>
          <w:p w14:paraId="247E83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F02EE3"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4FC17C1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C3955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Healthcare and Medical Research Foundations: </w:t>
            </w:r>
          </w:p>
        </w:tc>
        <w:tc>
          <w:tcPr>
            <w:tcW w:w="6762" w:type="dxa"/>
            <w:tcBorders>
              <w:top w:val="nil"/>
              <w:left w:val="nil"/>
              <w:bottom w:val="single" w:sz="4" w:space="0" w:color="auto"/>
              <w:right w:val="single" w:sz="4" w:space="0" w:color="auto"/>
            </w:tcBorders>
            <w:shd w:val="clear" w:color="auto" w:fill="auto"/>
            <w:hideMark/>
          </w:tcPr>
          <w:p w14:paraId="0646046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Philanthropic organizations and trusts dedicated to supporting healthcare, medical research, and public health initiatives are interested in funding projects that advance biomedical research, develop new treatments and therapies, and improve health outcomes for individuals and communities. They seek projects that address key health challenges, drive innovation in medical science, and promote collaboration and knowledge sharing among researchers and healthcare professionals.</w:t>
            </w:r>
          </w:p>
        </w:tc>
        <w:tc>
          <w:tcPr>
            <w:tcW w:w="2566" w:type="dxa"/>
            <w:tcBorders>
              <w:top w:val="nil"/>
              <w:left w:val="nil"/>
              <w:bottom w:val="single" w:sz="4" w:space="0" w:color="auto"/>
              <w:right w:val="single" w:sz="4" w:space="0" w:color="auto"/>
            </w:tcBorders>
            <w:shd w:val="clear" w:color="auto" w:fill="auto"/>
            <w:hideMark/>
          </w:tcPr>
          <w:p w14:paraId="4723A14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29E9D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543967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F0A24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and Social Impact Foundations: </w:t>
            </w:r>
          </w:p>
        </w:tc>
        <w:tc>
          <w:tcPr>
            <w:tcW w:w="6762" w:type="dxa"/>
            <w:tcBorders>
              <w:top w:val="nil"/>
              <w:left w:val="nil"/>
              <w:bottom w:val="single" w:sz="4" w:space="0" w:color="auto"/>
              <w:right w:val="single" w:sz="4" w:space="0" w:color="auto"/>
            </w:tcBorders>
            <w:shd w:val="clear" w:color="auto" w:fill="auto"/>
            <w:hideMark/>
          </w:tcPr>
          <w:p w14:paraId="668D92F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Foundations and trusts that focus on addressing social issues, promoting community development, and fostering social change may be interested in funding projects that have the potential to make a positive impact on society and improve the lives of individuals and communities. They seek projects that align with their mission and values, demonstrate a clear social benefit, and offer sustainable solutions to pressing social challenges.</w:t>
            </w:r>
          </w:p>
        </w:tc>
        <w:tc>
          <w:tcPr>
            <w:tcW w:w="2566" w:type="dxa"/>
            <w:tcBorders>
              <w:top w:val="nil"/>
              <w:left w:val="nil"/>
              <w:bottom w:val="single" w:sz="4" w:space="0" w:color="auto"/>
              <w:right w:val="single" w:sz="4" w:space="0" w:color="auto"/>
            </w:tcBorders>
            <w:shd w:val="clear" w:color="auto" w:fill="auto"/>
            <w:hideMark/>
          </w:tcPr>
          <w:p w14:paraId="604B27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15B8D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8FBF1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6448C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647AF5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71D676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B5221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26197E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0E4E4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Strategies:</w:t>
            </w:r>
          </w:p>
        </w:tc>
        <w:tc>
          <w:tcPr>
            <w:tcW w:w="6762" w:type="dxa"/>
            <w:tcBorders>
              <w:top w:val="nil"/>
              <w:left w:val="nil"/>
              <w:bottom w:val="single" w:sz="4" w:space="0" w:color="auto"/>
              <w:right w:val="single" w:sz="4" w:space="0" w:color="auto"/>
            </w:tcBorders>
            <w:shd w:val="clear" w:color="auto" w:fill="auto"/>
            <w:hideMark/>
          </w:tcPr>
          <w:p w14:paraId="20DE5C0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D7C54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E2E7B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0E91E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4F67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34383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0206C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0FDC0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9E1455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2E8C0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Grant Proposals and Funding Applications: </w:t>
            </w:r>
          </w:p>
        </w:tc>
        <w:tc>
          <w:tcPr>
            <w:tcW w:w="6762" w:type="dxa"/>
            <w:tcBorders>
              <w:top w:val="nil"/>
              <w:left w:val="nil"/>
              <w:bottom w:val="single" w:sz="4" w:space="0" w:color="auto"/>
              <w:right w:val="single" w:sz="4" w:space="0" w:color="auto"/>
            </w:tcBorders>
            <w:shd w:val="clear" w:color="auto" w:fill="auto"/>
            <w:hideMark/>
          </w:tcPr>
          <w:p w14:paraId="0EBEA57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Prepare compelling grant proposals and funding applications that articulate the project's goals, objectives, and potential impact in alignment with the mission and priorities of philanthropic organizations. Highlight the significance of the project's contributions to scientific research, education, or STEM initiatives and demonstrate how it aligns with the funder's areas of interest and funding criteria.</w:t>
            </w:r>
          </w:p>
        </w:tc>
        <w:tc>
          <w:tcPr>
            <w:tcW w:w="2566" w:type="dxa"/>
            <w:tcBorders>
              <w:top w:val="nil"/>
              <w:left w:val="nil"/>
              <w:bottom w:val="single" w:sz="4" w:space="0" w:color="auto"/>
              <w:right w:val="single" w:sz="4" w:space="0" w:color="auto"/>
            </w:tcBorders>
            <w:shd w:val="clear" w:color="auto" w:fill="auto"/>
            <w:hideMark/>
          </w:tcPr>
          <w:p w14:paraId="42DE6D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360B0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D78A93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01B24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Partnership Development and Collaboration: </w:t>
            </w:r>
          </w:p>
        </w:tc>
        <w:tc>
          <w:tcPr>
            <w:tcW w:w="6762" w:type="dxa"/>
            <w:tcBorders>
              <w:top w:val="nil"/>
              <w:left w:val="nil"/>
              <w:bottom w:val="single" w:sz="4" w:space="0" w:color="auto"/>
              <w:right w:val="single" w:sz="4" w:space="0" w:color="auto"/>
            </w:tcBorders>
            <w:shd w:val="clear" w:color="auto" w:fill="auto"/>
            <w:hideMark/>
          </w:tcPr>
          <w:p w14:paraId="7120FFE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Explore opportunities for partnership development and collaboration with philanthropic organizations, research foundations, and nonprofit entities that share similar goals and objectives. Engage in dialogue, networking, and relationship-building activities to establish meaningful connections and explore potential funding opportunities, partnerships, and joint initiatives.</w:t>
            </w:r>
          </w:p>
        </w:tc>
        <w:tc>
          <w:tcPr>
            <w:tcW w:w="2566" w:type="dxa"/>
            <w:tcBorders>
              <w:top w:val="nil"/>
              <w:left w:val="nil"/>
              <w:bottom w:val="single" w:sz="4" w:space="0" w:color="auto"/>
              <w:right w:val="single" w:sz="4" w:space="0" w:color="auto"/>
            </w:tcBorders>
            <w:shd w:val="clear" w:color="auto" w:fill="auto"/>
            <w:hideMark/>
          </w:tcPr>
          <w:p w14:paraId="1A06C8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6F6A73"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6151864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99F66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Impact Evaluation and Reporting: </w:t>
            </w:r>
          </w:p>
        </w:tc>
        <w:tc>
          <w:tcPr>
            <w:tcW w:w="6762" w:type="dxa"/>
            <w:tcBorders>
              <w:top w:val="nil"/>
              <w:left w:val="nil"/>
              <w:bottom w:val="single" w:sz="4" w:space="0" w:color="auto"/>
              <w:right w:val="single" w:sz="4" w:space="0" w:color="auto"/>
            </w:tcBorders>
            <w:shd w:val="clear" w:color="auto" w:fill="auto"/>
            <w:hideMark/>
          </w:tcPr>
          <w:p w14:paraId="208E19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a robust impact evaluation framework to measure and assess the project's outcomes, achievements, and contributions to advancing knowledge and addressing real-world problems. Provide regular progress updates, impact reports, and performance metrics to philanthropic organizations to demonstrate the value and effectiveness of their investment in the project and ensure transparency and accountability in project management and implementation.</w:t>
            </w:r>
          </w:p>
        </w:tc>
        <w:tc>
          <w:tcPr>
            <w:tcW w:w="2566" w:type="dxa"/>
            <w:tcBorders>
              <w:top w:val="nil"/>
              <w:left w:val="nil"/>
              <w:bottom w:val="single" w:sz="4" w:space="0" w:color="auto"/>
              <w:right w:val="single" w:sz="4" w:space="0" w:color="auto"/>
            </w:tcBorders>
            <w:shd w:val="clear" w:color="auto" w:fill="auto"/>
            <w:hideMark/>
          </w:tcPr>
          <w:p w14:paraId="0677B5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E9668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253A0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3F8AC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Stakeholder Engagement and Advocacy: </w:t>
            </w:r>
          </w:p>
        </w:tc>
        <w:tc>
          <w:tcPr>
            <w:tcW w:w="6762" w:type="dxa"/>
            <w:tcBorders>
              <w:top w:val="nil"/>
              <w:left w:val="nil"/>
              <w:bottom w:val="single" w:sz="4" w:space="0" w:color="auto"/>
              <w:right w:val="single" w:sz="4" w:space="0" w:color="auto"/>
            </w:tcBorders>
            <w:shd w:val="clear" w:color="auto" w:fill="auto"/>
            <w:hideMark/>
          </w:tcPr>
          <w:p w14:paraId="69BD0D0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Engage with stakeholders, advocates, and influencers within the philanthropic community to raise awareness about the project, garner support, and advocate for funding and resources. Participate in conferences, workshops, and networking events to showcase the project's potential, share success stories, and build relationships with potential backers and supporters in the philanthropic sector.</w:t>
            </w:r>
          </w:p>
        </w:tc>
        <w:tc>
          <w:tcPr>
            <w:tcW w:w="2566" w:type="dxa"/>
            <w:tcBorders>
              <w:top w:val="nil"/>
              <w:left w:val="nil"/>
              <w:bottom w:val="single" w:sz="4" w:space="0" w:color="auto"/>
              <w:right w:val="single" w:sz="4" w:space="0" w:color="auto"/>
            </w:tcBorders>
            <w:shd w:val="clear" w:color="auto" w:fill="auto"/>
            <w:hideMark/>
          </w:tcPr>
          <w:p w14:paraId="14A9B0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71DC5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10F2D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57F72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FB15A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1EC97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AA31E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71EDA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BB26B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67C8CC9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D5E7B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1AB6B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848DF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A5C78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8E3DF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900506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EFDA1D"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47E0AF8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BB6D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69257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philanthropic organizations represent a diverse and influential audience with a shared commitment to advancing scientific research, education, and social impact initiatives. By understanding the unique needs and priorities of this audience and implementing targeted engagement strategies, the PrimeBookOne Project can effectively engage philanthropic organizations as potential backers and partners in supporting its goals and objectives.</w:t>
            </w:r>
          </w:p>
        </w:tc>
        <w:tc>
          <w:tcPr>
            <w:tcW w:w="2566" w:type="dxa"/>
            <w:tcBorders>
              <w:top w:val="nil"/>
              <w:left w:val="nil"/>
              <w:bottom w:val="single" w:sz="4" w:space="0" w:color="auto"/>
              <w:right w:val="single" w:sz="4" w:space="0" w:color="auto"/>
            </w:tcBorders>
            <w:shd w:val="clear" w:color="auto" w:fill="auto"/>
            <w:hideMark/>
          </w:tcPr>
          <w:p w14:paraId="02CFCC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1C6C7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48F72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3B266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3D3D1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E5DAF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9A90E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C7A76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3. Target Audience: </w:t>
            </w:r>
          </w:p>
        </w:tc>
        <w:tc>
          <w:tcPr>
            <w:tcW w:w="2363" w:type="dxa"/>
            <w:tcBorders>
              <w:top w:val="nil"/>
              <w:left w:val="nil"/>
              <w:bottom w:val="single" w:sz="4" w:space="0" w:color="auto"/>
              <w:right w:val="single" w:sz="4" w:space="0" w:color="auto"/>
            </w:tcBorders>
            <w:shd w:val="clear" w:color="auto" w:fill="auto"/>
            <w:hideMark/>
          </w:tcPr>
          <w:p w14:paraId="411E72B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8. Conclusion: </w:t>
            </w:r>
          </w:p>
        </w:tc>
        <w:tc>
          <w:tcPr>
            <w:tcW w:w="6762" w:type="dxa"/>
            <w:tcBorders>
              <w:top w:val="nil"/>
              <w:left w:val="nil"/>
              <w:bottom w:val="single" w:sz="4" w:space="0" w:color="auto"/>
              <w:right w:val="single" w:sz="4" w:space="0" w:color="auto"/>
            </w:tcBorders>
            <w:shd w:val="clear" w:color="auto" w:fill="auto"/>
            <w:hideMark/>
          </w:tcPr>
          <w:p w14:paraId="4824A48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xml:space="preserve">By identifying and targeting these specific audience segments, you can tailor your crowd funding campaign to resonate with their interests, values, and motivations, increasing the likelihood of successful engagement and support. </w:t>
            </w:r>
          </w:p>
        </w:tc>
        <w:tc>
          <w:tcPr>
            <w:tcW w:w="2566" w:type="dxa"/>
            <w:tcBorders>
              <w:top w:val="nil"/>
              <w:left w:val="nil"/>
              <w:bottom w:val="single" w:sz="4" w:space="0" w:color="auto"/>
              <w:right w:val="single" w:sz="4" w:space="0" w:color="auto"/>
            </w:tcBorders>
            <w:shd w:val="clear" w:color="auto" w:fill="auto"/>
            <w:hideMark/>
          </w:tcPr>
          <w:p w14:paraId="40C805F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D5568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8B6C20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3DFF3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74290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identifying and targeting these specific audience segments, you can tailor your crowdfunding campaign to resonate with their interests, values, and motivations, increasing the likelihood of successful engagement and support.</w:t>
            </w:r>
          </w:p>
        </w:tc>
        <w:tc>
          <w:tcPr>
            <w:tcW w:w="2566" w:type="dxa"/>
            <w:tcBorders>
              <w:top w:val="nil"/>
              <w:left w:val="nil"/>
              <w:bottom w:val="single" w:sz="4" w:space="0" w:color="auto"/>
              <w:right w:val="single" w:sz="4" w:space="0" w:color="auto"/>
            </w:tcBorders>
            <w:shd w:val="clear" w:color="auto" w:fill="auto"/>
            <w:hideMark/>
          </w:tcPr>
          <w:p w14:paraId="0A5617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01D24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A6547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662E1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2D0289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5613A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3A764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6EC9F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BFE81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Tesla: </w:t>
            </w:r>
          </w:p>
        </w:tc>
        <w:tc>
          <w:tcPr>
            <w:tcW w:w="6762" w:type="dxa"/>
            <w:tcBorders>
              <w:top w:val="nil"/>
              <w:left w:val="nil"/>
              <w:bottom w:val="single" w:sz="4" w:space="0" w:color="auto"/>
              <w:right w:val="single" w:sz="4" w:space="0" w:color="auto"/>
            </w:tcBorders>
            <w:shd w:val="clear" w:color="auto" w:fill="auto"/>
            <w:hideMark/>
          </w:tcPr>
          <w:p w14:paraId="5336AB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When Elon Musk launched the Tesla Model S, he targeted tech enthusiasts and environmentally conscious consumers who were eager for innovative electric vehicles. By understanding the interests and values of this audience, Tesla was able to create a buzz and generate widespread excitement for its products.</w:t>
            </w:r>
          </w:p>
        </w:tc>
        <w:tc>
          <w:tcPr>
            <w:tcW w:w="2566" w:type="dxa"/>
            <w:tcBorders>
              <w:top w:val="nil"/>
              <w:left w:val="nil"/>
              <w:bottom w:val="single" w:sz="4" w:space="0" w:color="auto"/>
              <w:right w:val="single" w:sz="4" w:space="0" w:color="auto"/>
            </w:tcBorders>
            <w:shd w:val="clear" w:color="auto" w:fill="auto"/>
            <w:hideMark/>
          </w:tcPr>
          <w:p w14:paraId="734BA6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0319B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5D7A3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AC652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Khan Academy: </w:t>
            </w:r>
          </w:p>
        </w:tc>
        <w:tc>
          <w:tcPr>
            <w:tcW w:w="6762" w:type="dxa"/>
            <w:tcBorders>
              <w:top w:val="nil"/>
              <w:left w:val="nil"/>
              <w:bottom w:val="single" w:sz="4" w:space="0" w:color="auto"/>
              <w:right w:val="single" w:sz="4" w:space="0" w:color="auto"/>
            </w:tcBorders>
            <w:shd w:val="clear" w:color="auto" w:fill="auto"/>
            <w:hideMark/>
          </w:tcPr>
          <w:p w14:paraId="6CB135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Khan Academy targets educators, students, and lifelong learners with its online educational platform offering free courses and resources in various subjects. By catering to the needs and interests of these audience segments, Khan Academy has become a trusted resource for online learning and has attracted millions of users worldwide.</w:t>
            </w:r>
          </w:p>
        </w:tc>
        <w:tc>
          <w:tcPr>
            <w:tcW w:w="2566" w:type="dxa"/>
            <w:tcBorders>
              <w:top w:val="nil"/>
              <w:left w:val="nil"/>
              <w:bottom w:val="single" w:sz="4" w:space="0" w:color="auto"/>
              <w:right w:val="single" w:sz="4" w:space="0" w:color="auto"/>
            </w:tcBorders>
            <w:shd w:val="clear" w:color="auto" w:fill="auto"/>
            <w:hideMark/>
          </w:tcPr>
          <w:p w14:paraId="656223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91B03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EFDDF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7E1FB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The Ocean Cleanup: </w:t>
            </w:r>
          </w:p>
        </w:tc>
        <w:tc>
          <w:tcPr>
            <w:tcW w:w="6762" w:type="dxa"/>
            <w:tcBorders>
              <w:top w:val="nil"/>
              <w:left w:val="nil"/>
              <w:bottom w:val="single" w:sz="4" w:space="0" w:color="auto"/>
              <w:right w:val="single" w:sz="4" w:space="0" w:color="auto"/>
            </w:tcBorders>
            <w:shd w:val="clear" w:color="auto" w:fill="auto"/>
            <w:hideMark/>
          </w:tcPr>
          <w:p w14:paraId="2D93C02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Founded by Boyan Slat, The Ocean Cleanup targets environmentalists, ocean advocates, and supporters of sustainability initiatives. By raising awareness about plastic pollution and offering innovative solutions to clean up the world's oceans, The Ocean Cleanup has garnered widespread support and funding for its mission.</w:t>
            </w:r>
          </w:p>
        </w:tc>
        <w:tc>
          <w:tcPr>
            <w:tcW w:w="2566" w:type="dxa"/>
            <w:tcBorders>
              <w:top w:val="nil"/>
              <w:left w:val="nil"/>
              <w:bottom w:val="single" w:sz="4" w:space="0" w:color="auto"/>
              <w:right w:val="single" w:sz="4" w:space="0" w:color="auto"/>
            </w:tcBorders>
            <w:shd w:val="clear" w:color="auto" w:fill="auto"/>
            <w:hideMark/>
          </w:tcPr>
          <w:p w14:paraId="184001C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839CB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2224EA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2F3AC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13ED9D8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DC0623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9ABA4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C20B5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D4951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Mathematics Enthusiasts: </w:t>
            </w:r>
          </w:p>
        </w:tc>
        <w:tc>
          <w:tcPr>
            <w:tcW w:w="6762" w:type="dxa"/>
            <w:tcBorders>
              <w:top w:val="nil"/>
              <w:left w:val="nil"/>
              <w:bottom w:val="single" w:sz="4" w:space="0" w:color="auto"/>
              <w:right w:val="single" w:sz="4" w:space="0" w:color="auto"/>
            </w:tcBorders>
            <w:shd w:val="clear" w:color="auto" w:fill="auto"/>
            <w:hideMark/>
          </w:tcPr>
          <w:p w14:paraId="1F6836F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This group includes students, educators, mathematicians, and amateur mathematicians who are passionate about exploring mathematical concepts and solving challenging problems. By providing opportunities for engagement, collaboration, and learning, you can tap into their enthusiasm for mathematics and attract their support for the project.</w:t>
            </w:r>
          </w:p>
        </w:tc>
        <w:tc>
          <w:tcPr>
            <w:tcW w:w="2566" w:type="dxa"/>
            <w:tcBorders>
              <w:top w:val="nil"/>
              <w:left w:val="nil"/>
              <w:bottom w:val="single" w:sz="4" w:space="0" w:color="auto"/>
              <w:right w:val="single" w:sz="4" w:space="0" w:color="auto"/>
            </w:tcBorders>
            <w:shd w:val="clear" w:color="auto" w:fill="auto"/>
            <w:hideMark/>
          </w:tcPr>
          <w:p w14:paraId="7C10C6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823B6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CE99AD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E65B3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Educators and Researchers: </w:t>
            </w:r>
          </w:p>
        </w:tc>
        <w:tc>
          <w:tcPr>
            <w:tcW w:w="6762" w:type="dxa"/>
            <w:tcBorders>
              <w:top w:val="nil"/>
              <w:left w:val="nil"/>
              <w:bottom w:val="single" w:sz="4" w:space="0" w:color="auto"/>
              <w:right w:val="single" w:sz="4" w:space="0" w:color="auto"/>
            </w:tcBorders>
            <w:shd w:val="clear" w:color="auto" w:fill="auto"/>
            <w:hideMark/>
          </w:tcPr>
          <w:p w14:paraId="3846F5E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Targeting educators and researchers in mathematics and related fields allows you to tap into a community that values scientific inquiry and innovation. By offering educational resources, research opportunities, and professional development initiatives, you can engage this audience and enlist their support for advancing mathematical knowledge and research.</w:t>
            </w:r>
          </w:p>
        </w:tc>
        <w:tc>
          <w:tcPr>
            <w:tcW w:w="2566" w:type="dxa"/>
            <w:tcBorders>
              <w:top w:val="nil"/>
              <w:left w:val="nil"/>
              <w:bottom w:val="single" w:sz="4" w:space="0" w:color="auto"/>
              <w:right w:val="single" w:sz="4" w:space="0" w:color="auto"/>
            </w:tcBorders>
            <w:shd w:val="clear" w:color="auto" w:fill="auto"/>
            <w:hideMark/>
          </w:tcPr>
          <w:p w14:paraId="155532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39E06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F2E68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5A1E4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Science and Technology Enthusiasts: </w:t>
            </w:r>
          </w:p>
        </w:tc>
        <w:tc>
          <w:tcPr>
            <w:tcW w:w="6762" w:type="dxa"/>
            <w:tcBorders>
              <w:top w:val="nil"/>
              <w:left w:val="nil"/>
              <w:bottom w:val="single" w:sz="4" w:space="0" w:color="auto"/>
              <w:right w:val="single" w:sz="4" w:space="0" w:color="auto"/>
            </w:tcBorders>
            <w:shd w:val="clear" w:color="auto" w:fill="auto"/>
            <w:hideMark/>
          </w:tcPr>
          <w:p w14:paraId="664761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Individuals with a general interest in science, technology, engineering, and mathematics (STEM) fields may also be interested in supporting the project. By highlighting the intellectual challenge and potential real-world applications of prime number theory, you can capture their curiosity and inspire them to contribute to the campaign.</w:t>
            </w:r>
          </w:p>
        </w:tc>
        <w:tc>
          <w:tcPr>
            <w:tcW w:w="2566" w:type="dxa"/>
            <w:tcBorders>
              <w:top w:val="nil"/>
              <w:left w:val="nil"/>
              <w:bottom w:val="single" w:sz="4" w:space="0" w:color="auto"/>
              <w:right w:val="single" w:sz="4" w:space="0" w:color="auto"/>
            </w:tcBorders>
            <w:shd w:val="clear" w:color="auto" w:fill="auto"/>
            <w:hideMark/>
          </w:tcPr>
          <w:p w14:paraId="5B7B9CC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DEDFFD"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76270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89DC4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Cryptography and Security Professionals: </w:t>
            </w:r>
          </w:p>
        </w:tc>
        <w:tc>
          <w:tcPr>
            <w:tcW w:w="6762" w:type="dxa"/>
            <w:tcBorders>
              <w:top w:val="nil"/>
              <w:left w:val="nil"/>
              <w:bottom w:val="single" w:sz="4" w:space="0" w:color="auto"/>
              <w:right w:val="single" w:sz="4" w:space="0" w:color="auto"/>
            </w:tcBorders>
            <w:shd w:val="clear" w:color="auto" w:fill="auto"/>
            <w:hideMark/>
          </w:tcPr>
          <w:p w14:paraId="01D4E03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Professionals working in cryptography, cybersecurity, and information security industries have a vested interest in prime number theory due to its crucial role in encryption algorithms and digital security. By showcasing the project's potential contributions to advancing cryptographic techniques and enhancing digital security, you can attract their support and expertise to the campaign.</w:t>
            </w:r>
          </w:p>
        </w:tc>
        <w:tc>
          <w:tcPr>
            <w:tcW w:w="2566" w:type="dxa"/>
            <w:tcBorders>
              <w:top w:val="nil"/>
              <w:left w:val="nil"/>
              <w:bottom w:val="single" w:sz="4" w:space="0" w:color="auto"/>
              <w:right w:val="single" w:sz="4" w:space="0" w:color="auto"/>
            </w:tcBorders>
            <w:shd w:val="clear" w:color="auto" w:fill="auto"/>
            <w:hideMark/>
          </w:tcPr>
          <w:p w14:paraId="5EAB90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5F05A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F43E3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84F38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Tech Innovators and Entrepreneurs: </w:t>
            </w:r>
          </w:p>
        </w:tc>
        <w:tc>
          <w:tcPr>
            <w:tcW w:w="6762" w:type="dxa"/>
            <w:tcBorders>
              <w:top w:val="nil"/>
              <w:left w:val="nil"/>
              <w:bottom w:val="single" w:sz="4" w:space="0" w:color="auto"/>
              <w:right w:val="single" w:sz="4" w:space="0" w:color="auto"/>
            </w:tcBorders>
            <w:shd w:val="clear" w:color="auto" w:fill="auto"/>
            <w:hideMark/>
          </w:tcPr>
          <w:p w14:paraId="697F2D0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Entrepreneurs and innovators in the technology sector may see the potential for leveraging insights from prime number theory to develop new algorithms, optimize computational processes, or enhance digital security solutions. By offering opportunities for collaboration, partnership, or potential commercialization, you can appeal to their entrepreneurial spirit and attract their investment in the project.</w:t>
            </w:r>
          </w:p>
        </w:tc>
        <w:tc>
          <w:tcPr>
            <w:tcW w:w="2566" w:type="dxa"/>
            <w:tcBorders>
              <w:top w:val="nil"/>
              <w:left w:val="nil"/>
              <w:bottom w:val="single" w:sz="4" w:space="0" w:color="auto"/>
              <w:right w:val="single" w:sz="4" w:space="0" w:color="auto"/>
            </w:tcBorders>
            <w:shd w:val="clear" w:color="auto" w:fill="auto"/>
            <w:hideMark/>
          </w:tcPr>
          <w:p w14:paraId="4EF02F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CA57F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B68C84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D872A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Tailored Engagement Strategies:</w:t>
            </w:r>
          </w:p>
        </w:tc>
        <w:tc>
          <w:tcPr>
            <w:tcW w:w="6762" w:type="dxa"/>
            <w:tcBorders>
              <w:top w:val="nil"/>
              <w:left w:val="nil"/>
              <w:bottom w:val="single" w:sz="4" w:space="0" w:color="auto"/>
              <w:right w:val="single" w:sz="4" w:space="0" w:color="auto"/>
            </w:tcBorders>
            <w:shd w:val="clear" w:color="auto" w:fill="auto"/>
            <w:hideMark/>
          </w:tcPr>
          <w:p w14:paraId="23B3849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F1EA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4167E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49CE1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73103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Customized Messaging: </w:t>
            </w:r>
          </w:p>
        </w:tc>
        <w:tc>
          <w:tcPr>
            <w:tcW w:w="6762" w:type="dxa"/>
            <w:tcBorders>
              <w:top w:val="nil"/>
              <w:left w:val="nil"/>
              <w:bottom w:val="single" w:sz="4" w:space="0" w:color="auto"/>
              <w:right w:val="single" w:sz="4" w:space="0" w:color="auto"/>
            </w:tcBorders>
            <w:shd w:val="clear" w:color="auto" w:fill="auto"/>
            <w:hideMark/>
          </w:tcPr>
          <w:p w14:paraId="7641A29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Craft tailored messaging and communication strategies that resonate with the interests, values, and motivations of each audience segment. Use language, imagery, and storytelling techniques that speak to their specific needs and aspirations, demonstrating how the project aligns with their interests and offers opportunities for meaningful engagement and support.</w:t>
            </w:r>
          </w:p>
        </w:tc>
        <w:tc>
          <w:tcPr>
            <w:tcW w:w="2566" w:type="dxa"/>
            <w:tcBorders>
              <w:top w:val="nil"/>
              <w:left w:val="nil"/>
              <w:bottom w:val="single" w:sz="4" w:space="0" w:color="auto"/>
              <w:right w:val="single" w:sz="4" w:space="0" w:color="auto"/>
            </w:tcBorders>
            <w:shd w:val="clear" w:color="auto" w:fill="auto"/>
            <w:hideMark/>
          </w:tcPr>
          <w:p w14:paraId="4F072C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1A608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53D17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AB89F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Personalized Outreach: </w:t>
            </w:r>
          </w:p>
        </w:tc>
        <w:tc>
          <w:tcPr>
            <w:tcW w:w="6762" w:type="dxa"/>
            <w:tcBorders>
              <w:top w:val="nil"/>
              <w:left w:val="nil"/>
              <w:bottom w:val="single" w:sz="4" w:space="0" w:color="auto"/>
              <w:right w:val="single" w:sz="4" w:space="0" w:color="auto"/>
            </w:tcBorders>
            <w:shd w:val="clear" w:color="auto" w:fill="auto"/>
            <w:hideMark/>
          </w:tcPr>
          <w:p w14:paraId="56D8ED4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personalized outreach campaigns and engagement initiatives targeting each audience segment through targeted advertising, social media outreach, email marketing, and direct communication channels. Tailor your messaging and content to address their unique concerns, preferences, and priorities, fostering a sense of connection and relevance that encourages them to get involved and support the campaign.</w:t>
            </w:r>
          </w:p>
        </w:tc>
        <w:tc>
          <w:tcPr>
            <w:tcW w:w="2566" w:type="dxa"/>
            <w:tcBorders>
              <w:top w:val="nil"/>
              <w:left w:val="nil"/>
              <w:bottom w:val="single" w:sz="4" w:space="0" w:color="auto"/>
              <w:right w:val="single" w:sz="4" w:space="0" w:color="auto"/>
            </w:tcBorders>
            <w:shd w:val="clear" w:color="auto" w:fill="auto"/>
            <w:hideMark/>
          </w:tcPr>
          <w:p w14:paraId="5B136BC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ED05B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5F4D29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4088C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Building: </w:t>
            </w:r>
          </w:p>
        </w:tc>
        <w:tc>
          <w:tcPr>
            <w:tcW w:w="6762" w:type="dxa"/>
            <w:tcBorders>
              <w:top w:val="nil"/>
              <w:left w:val="nil"/>
              <w:bottom w:val="single" w:sz="4" w:space="0" w:color="auto"/>
              <w:right w:val="single" w:sz="4" w:space="0" w:color="auto"/>
            </w:tcBorders>
            <w:shd w:val="clear" w:color="auto" w:fill="auto"/>
            <w:hideMark/>
          </w:tcPr>
          <w:p w14:paraId="62CC3FE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Foster a sense of community and belonging among supporters and backers by creating online forums, discussion groups, and social media communities where they can connect, share ideas, and collaborate on initiatives related to prime number theory and scientific research. Encourage active participation, collaboration, and knowledge sharing to build a vibrant and engaged community of supporters who are invested in the success of the project.</w:t>
            </w:r>
          </w:p>
        </w:tc>
        <w:tc>
          <w:tcPr>
            <w:tcW w:w="2566" w:type="dxa"/>
            <w:tcBorders>
              <w:top w:val="nil"/>
              <w:left w:val="nil"/>
              <w:bottom w:val="single" w:sz="4" w:space="0" w:color="auto"/>
              <w:right w:val="single" w:sz="4" w:space="0" w:color="auto"/>
            </w:tcBorders>
            <w:shd w:val="clear" w:color="auto" w:fill="auto"/>
            <w:hideMark/>
          </w:tcPr>
          <w:p w14:paraId="50BBE2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A6CD4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A0126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35BBF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Recognition and Incentives: </w:t>
            </w:r>
          </w:p>
        </w:tc>
        <w:tc>
          <w:tcPr>
            <w:tcW w:w="6762" w:type="dxa"/>
            <w:tcBorders>
              <w:top w:val="nil"/>
              <w:left w:val="nil"/>
              <w:bottom w:val="single" w:sz="4" w:space="0" w:color="auto"/>
              <w:right w:val="single" w:sz="4" w:space="0" w:color="auto"/>
            </w:tcBorders>
            <w:shd w:val="clear" w:color="auto" w:fill="auto"/>
            <w:hideMark/>
          </w:tcPr>
          <w:p w14:paraId="2D7831D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Offer recognition, incentives, and rewards to acknowledge the contributions and support of backers and supporters from each audience segment. Provide exclusive perks, access to behind-the-scenes updates, and opportunities for involvement in project activities and events to show appreciation for their engagement and commitment to the campaign.</w:t>
            </w:r>
          </w:p>
        </w:tc>
        <w:tc>
          <w:tcPr>
            <w:tcW w:w="2566" w:type="dxa"/>
            <w:tcBorders>
              <w:top w:val="nil"/>
              <w:left w:val="nil"/>
              <w:bottom w:val="single" w:sz="4" w:space="0" w:color="auto"/>
              <w:right w:val="single" w:sz="4" w:space="0" w:color="auto"/>
            </w:tcBorders>
            <w:shd w:val="clear" w:color="auto" w:fill="auto"/>
            <w:hideMark/>
          </w:tcPr>
          <w:p w14:paraId="771CF9C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17D8D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31E57B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18CEE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8C6DE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5363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9533E8"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2FE6020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E8852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44A303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by identifying and targeting specific audience segments with tailored engagement strategies, you can maximize the effectiveness of your crowdfunding campaign and increase the likelihood of successful engagement and support. By understanding the interests, values, and motivations of each audience segment and crafting customized messaging and outreach initiatives, you can build a diverse and engaged community of supporters who are passionate about advancing mathematical knowledge and scientific research.</w:t>
            </w:r>
          </w:p>
        </w:tc>
        <w:tc>
          <w:tcPr>
            <w:tcW w:w="2566" w:type="dxa"/>
            <w:tcBorders>
              <w:top w:val="nil"/>
              <w:left w:val="nil"/>
              <w:bottom w:val="single" w:sz="4" w:space="0" w:color="auto"/>
              <w:right w:val="single" w:sz="4" w:space="0" w:color="auto"/>
            </w:tcBorders>
            <w:shd w:val="clear" w:color="auto" w:fill="auto"/>
            <w:hideMark/>
          </w:tcPr>
          <w:p w14:paraId="0D28AD8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02797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2F549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1B88B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57D9B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34960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DA24F1" w14:textId="77777777" w:rsidTr="0041317E">
        <w:trPr>
          <w:trHeight w:val="3168"/>
        </w:trPr>
        <w:tc>
          <w:tcPr>
            <w:tcW w:w="1349" w:type="dxa"/>
            <w:tcBorders>
              <w:top w:val="nil"/>
              <w:left w:val="single" w:sz="4" w:space="0" w:color="auto"/>
              <w:bottom w:val="single" w:sz="4" w:space="0" w:color="auto"/>
              <w:right w:val="single" w:sz="4" w:space="0" w:color="auto"/>
            </w:tcBorders>
            <w:shd w:val="clear" w:color="auto" w:fill="auto"/>
            <w:hideMark/>
          </w:tcPr>
          <w:p w14:paraId="76F9E3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6BAAE3C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F2198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Clearly articulate the value proposition for potential funders. Explain what sets this project apart, why it's important, and how it aligns with the interests or values of the target audience.</w:t>
            </w:r>
          </w:p>
        </w:tc>
        <w:tc>
          <w:tcPr>
            <w:tcW w:w="2566" w:type="dxa"/>
            <w:tcBorders>
              <w:top w:val="nil"/>
              <w:left w:val="nil"/>
              <w:bottom w:val="single" w:sz="4" w:space="0" w:color="auto"/>
              <w:right w:val="single" w:sz="4" w:space="0" w:color="auto"/>
            </w:tcBorders>
            <w:shd w:val="clear" w:color="auto" w:fill="auto"/>
            <w:hideMark/>
          </w:tcPr>
          <w:p w14:paraId="03C8F7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Primes are free numbers of the universe.  PrimeBookOne Finding and trading them perhaps we can make a market.  Utilizing them with a separate PrimeTools App to Compress, Transmit, Analyze data, would be the marketable application as a service product.</w:t>
            </w:r>
          </w:p>
        </w:tc>
      </w:tr>
      <w:tr w:rsidR="0041317E" w:rsidRPr="0041317E" w14:paraId="1FF9488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EC7FF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AF20E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8E9F3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Primes are indeed the fundamental building blocks of the mathematical universe, and leveraging them effectively can yield significant benefits. Here's an extensive exploration of the value proposition for potential funders:</w:t>
            </w:r>
          </w:p>
        </w:tc>
        <w:tc>
          <w:tcPr>
            <w:tcW w:w="2566" w:type="dxa"/>
            <w:tcBorders>
              <w:top w:val="nil"/>
              <w:left w:val="nil"/>
              <w:bottom w:val="single" w:sz="4" w:space="0" w:color="auto"/>
              <w:right w:val="single" w:sz="4" w:space="0" w:color="auto"/>
            </w:tcBorders>
            <w:shd w:val="clear" w:color="auto" w:fill="auto"/>
            <w:hideMark/>
          </w:tcPr>
          <w:p w14:paraId="307F555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A2434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95FB0F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15CD3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Unraveling the Mysteries of Prime Numbers:</w:t>
            </w:r>
          </w:p>
        </w:tc>
        <w:tc>
          <w:tcPr>
            <w:tcW w:w="6762" w:type="dxa"/>
            <w:tcBorders>
              <w:top w:val="nil"/>
              <w:left w:val="nil"/>
              <w:bottom w:val="single" w:sz="4" w:space="0" w:color="auto"/>
              <w:right w:val="single" w:sz="4" w:space="0" w:color="auto"/>
            </w:tcBorders>
            <w:shd w:val="clear" w:color="auto" w:fill="auto"/>
            <w:hideMark/>
          </w:tcPr>
          <w:p w14:paraId="0A6EF27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D5811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7C036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9FC57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C539F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4CCA8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have fascinated mathematicians for centuries due to their unique properties and elusive nature. By contributing to the PrimeBookOne project, funders have the opportunity to delve deeper into the mysteries of prime numbers and uncover new insights and discoveries in the realm of number theory.</w:t>
            </w:r>
          </w:p>
        </w:tc>
        <w:tc>
          <w:tcPr>
            <w:tcW w:w="2566" w:type="dxa"/>
            <w:tcBorders>
              <w:top w:val="nil"/>
              <w:left w:val="nil"/>
              <w:bottom w:val="single" w:sz="4" w:space="0" w:color="auto"/>
              <w:right w:val="single" w:sz="4" w:space="0" w:color="auto"/>
            </w:tcBorders>
            <w:shd w:val="clear" w:color="auto" w:fill="auto"/>
            <w:hideMark/>
          </w:tcPr>
          <w:p w14:paraId="1201D6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A3591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F9CAB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5B7AD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Unlocking Computational Potential:</w:t>
            </w:r>
          </w:p>
        </w:tc>
        <w:tc>
          <w:tcPr>
            <w:tcW w:w="6762" w:type="dxa"/>
            <w:tcBorders>
              <w:top w:val="nil"/>
              <w:left w:val="nil"/>
              <w:bottom w:val="single" w:sz="4" w:space="0" w:color="auto"/>
              <w:right w:val="single" w:sz="4" w:space="0" w:color="auto"/>
            </w:tcBorders>
            <w:shd w:val="clear" w:color="auto" w:fill="auto"/>
            <w:hideMark/>
          </w:tcPr>
          <w:p w14:paraId="3883CDB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377AFE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DEB77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29E18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297E6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0E430A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Primes serve as the foundation for various computational tasks, from cryptography to data compression. By supporting the PrimeBookOne project, funders enable the development of innovative algorithms and tools that harness the power of prime numbers to optimize computational processes and enhance digital capabilities.</w:t>
            </w:r>
          </w:p>
        </w:tc>
        <w:tc>
          <w:tcPr>
            <w:tcW w:w="2566" w:type="dxa"/>
            <w:tcBorders>
              <w:top w:val="nil"/>
              <w:left w:val="nil"/>
              <w:bottom w:val="single" w:sz="4" w:space="0" w:color="auto"/>
              <w:right w:val="single" w:sz="4" w:space="0" w:color="auto"/>
            </w:tcBorders>
            <w:shd w:val="clear" w:color="auto" w:fill="auto"/>
            <w:hideMark/>
          </w:tcPr>
          <w:p w14:paraId="0D2A75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06EAB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B3006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885CA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Facilitating Scientific Research:</w:t>
            </w:r>
          </w:p>
        </w:tc>
        <w:tc>
          <w:tcPr>
            <w:tcW w:w="6762" w:type="dxa"/>
            <w:tcBorders>
              <w:top w:val="nil"/>
              <w:left w:val="nil"/>
              <w:bottom w:val="single" w:sz="4" w:space="0" w:color="auto"/>
              <w:right w:val="single" w:sz="4" w:space="0" w:color="auto"/>
            </w:tcBorders>
            <w:shd w:val="clear" w:color="auto" w:fill="auto"/>
            <w:hideMark/>
          </w:tcPr>
          <w:p w14:paraId="0656E5D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BCDA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D2296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A6814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E1834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77338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play a crucial role in numerous scientific disciplines, including physics, chemistry, and biology. By advancing our understanding of prime numbers and their properties, the PrimeBookOne project facilitates scientific research and opens up new avenues for exploration and discovery across multiple fields.</w:t>
            </w:r>
          </w:p>
        </w:tc>
        <w:tc>
          <w:tcPr>
            <w:tcW w:w="2566" w:type="dxa"/>
            <w:tcBorders>
              <w:top w:val="nil"/>
              <w:left w:val="nil"/>
              <w:bottom w:val="single" w:sz="4" w:space="0" w:color="auto"/>
              <w:right w:val="single" w:sz="4" w:space="0" w:color="auto"/>
            </w:tcBorders>
            <w:shd w:val="clear" w:color="auto" w:fill="auto"/>
            <w:hideMark/>
          </w:tcPr>
          <w:p w14:paraId="6300CD5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73474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98BCB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FD9CD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Promoting Technological Innovation:</w:t>
            </w:r>
          </w:p>
        </w:tc>
        <w:tc>
          <w:tcPr>
            <w:tcW w:w="6762" w:type="dxa"/>
            <w:tcBorders>
              <w:top w:val="nil"/>
              <w:left w:val="nil"/>
              <w:bottom w:val="single" w:sz="4" w:space="0" w:color="auto"/>
              <w:right w:val="single" w:sz="4" w:space="0" w:color="auto"/>
            </w:tcBorders>
            <w:shd w:val="clear" w:color="auto" w:fill="auto"/>
            <w:hideMark/>
          </w:tcPr>
          <w:p w14:paraId="6676BFB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A6BB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647DC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08186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08CFF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2035B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isn't just about theoretical mathematics—it's also about driving technological innovation. By creating practical applications and tools that leverage prime numbers, such as the PrimeTools App for data compression and analysis, the project fosters innovation in technology and opens up new possibilities for advancing computational capabilities.</w:t>
            </w:r>
          </w:p>
        </w:tc>
        <w:tc>
          <w:tcPr>
            <w:tcW w:w="2566" w:type="dxa"/>
            <w:tcBorders>
              <w:top w:val="nil"/>
              <w:left w:val="nil"/>
              <w:bottom w:val="single" w:sz="4" w:space="0" w:color="auto"/>
              <w:right w:val="single" w:sz="4" w:space="0" w:color="auto"/>
            </w:tcBorders>
            <w:shd w:val="clear" w:color="auto" w:fill="auto"/>
            <w:hideMark/>
          </w:tcPr>
          <w:p w14:paraId="3BB888C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6A7C7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73A37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76AF6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Empowering Data-driven Solutions:</w:t>
            </w:r>
          </w:p>
        </w:tc>
        <w:tc>
          <w:tcPr>
            <w:tcW w:w="6762" w:type="dxa"/>
            <w:tcBorders>
              <w:top w:val="nil"/>
              <w:left w:val="nil"/>
              <w:bottom w:val="single" w:sz="4" w:space="0" w:color="auto"/>
              <w:right w:val="single" w:sz="4" w:space="0" w:color="auto"/>
            </w:tcBorders>
            <w:shd w:val="clear" w:color="auto" w:fill="auto"/>
            <w:hideMark/>
          </w:tcPr>
          <w:p w14:paraId="5733EE3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E4782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7C91E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83549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56770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20798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today's data-driven world, efficient data management and analysis are critical for success. By providing a comprehensive database of prime numbers and tools for data manipulation, the PrimeBookOne project empowers individuals and organizations to harness the power of prime numbers for solving complex real-world problems and driving data-driven solutions.</w:t>
            </w:r>
          </w:p>
        </w:tc>
        <w:tc>
          <w:tcPr>
            <w:tcW w:w="2566" w:type="dxa"/>
            <w:tcBorders>
              <w:top w:val="nil"/>
              <w:left w:val="nil"/>
              <w:bottom w:val="single" w:sz="4" w:space="0" w:color="auto"/>
              <w:right w:val="single" w:sz="4" w:space="0" w:color="auto"/>
            </w:tcBorders>
            <w:shd w:val="clear" w:color="auto" w:fill="auto"/>
            <w:hideMark/>
          </w:tcPr>
          <w:p w14:paraId="3FE39FF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989A8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7F56C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3F56E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Fostering Collaboration and Knowledge Sharing:</w:t>
            </w:r>
          </w:p>
        </w:tc>
        <w:tc>
          <w:tcPr>
            <w:tcW w:w="6762" w:type="dxa"/>
            <w:tcBorders>
              <w:top w:val="nil"/>
              <w:left w:val="nil"/>
              <w:bottom w:val="single" w:sz="4" w:space="0" w:color="auto"/>
              <w:right w:val="single" w:sz="4" w:space="0" w:color="auto"/>
            </w:tcBorders>
            <w:shd w:val="clear" w:color="auto" w:fill="auto"/>
            <w:hideMark/>
          </w:tcPr>
          <w:p w14:paraId="61F706B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CC93F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8B978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C6C383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B6027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788FFD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serves as a platform for collaboration and knowledge sharing among mathematicians, scientists, educators, and technology enthusiasts. By supporting the project, funders become part of a vibrant community dedicated to advancing mathematical knowledge, scientific research, and technological innovation.</w:t>
            </w:r>
          </w:p>
        </w:tc>
        <w:tc>
          <w:tcPr>
            <w:tcW w:w="2566" w:type="dxa"/>
            <w:tcBorders>
              <w:top w:val="nil"/>
              <w:left w:val="nil"/>
              <w:bottom w:val="single" w:sz="4" w:space="0" w:color="auto"/>
              <w:right w:val="single" w:sz="4" w:space="0" w:color="auto"/>
            </w:tcBorders>
            <w:shd w:val="clear" w:color="auto" w:fill="auto"/>
            <w:hideMark/>
          </w:tcPr>
          <w:p w14:paraId="7DCCDE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040D5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1407C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EF0A3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7. Creating Economic Opportunities:</w:t>
            </w:r>
          </w:p>
        </w:tc>
        <w:tc>
          <w:tcPr>
            <w:tcW w:w="6762" w:type="dxa"/>
            <w:tcBorders>
              <w:top w:val="nil"/>
              <w:left w:val="nil"/>
              <w:bottom w:val="single" w:sz="4" w:space="0" w:color="auto"/>
              <w:right w:val="single" w:sz="4" w:space="0" w:color="auto"/>
            </w:tcBorders>
            <w:shd w:val="clear" w:color="auto" w:fill="auto"/>
            <w:hideMark/>
          </w:tcPr>
          <w:p w14:paraId="6A66EBE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9756D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90676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B800D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9D896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ACDC6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Primes aren't just abstract mathematical concepts—they also have practical applications in various industries, from finance to telecommunications. By investing in the PrimeBookOne project, funders contribute to the creation of economic opportunities and the development of innovative products and services that leverage prime numbers for commercial purposes.</w:t>
            </w:r>
          </w:p>
        </w:tc>
        <w:tc>
          <w:tcPr>
            <w:tcW w:w="2566" w:type="dxa"/>
            <w:tcBorders>
              <w:top w:val="nil"/>
              <w:left w:val="nil"/>
              <w:bottom w:val="single" w:sz="4" w:space="0" w:color="auto"/>
              <w:right w:val="single" w:sz="4" w:space="0" w:color="auto"/>
            </w:tcBorders>
            <w:shd w:val="clear" w:color="auto" w:fill="auto"/>
            <w:hideMark/>
          </w:tcPr>
          <w:p w14:paraId="5A9141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5D58B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BDBBC0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CA0C3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8. Driving Social Impact:</w:t>
            </w:r>
          </w:p>
        </w:tc>
        <w:tc>
          <w:tcPr>
            <w:tcW w:w="6762" w:type="dxa"/>
            <w:tcBorders>
              <w:top w:val="nil"/>
              <w:left w:val="nil"/>
              <w:bottom w:val="single" w:sz="4" w:space="0" w:color="auto"/>
              <w:right w:val="single" w:sz="4" w:space="0" w:color="auto"/>
            </w:tcBorders>
            <w:shd w:val="clear" w:color="auto" w:fill="auto"/>
            <w:hideMark/>
          </w:tcPr>
          <w:p w14:paraId="4D42D37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B7A5B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2D0B3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7221C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B7017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1C11AA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Beyond the realm of mathematics and technology, the PrimeBookOne project has the potential to drive social impact by promoting education, fostering scientific literacy, and empowering individuals from diverse backgrounds to participate in the pursuit of knowledge and innovation.</w:t>
            </w:r>
          </w:p>
        </w:tc>
        <w:tc>
          <w:tcPr>
            <w:tcW w:w="2566" w:type="dxa"/>
            <w:tcBorders>
              <w:top w:val="nil"/>
              <w:left w:val="nil"/>
              <w:bottom w:val="single" w:sz="4" w:space="0" w:color="auto"/>
              <w:right w:val="single" w:sz="4" w:space="0" w:color="auto"/>
            </w:tcBorders>
            <w:shd w:val="clear" w:color="auto" w:fill="auto"/>
            <w:hideMark/>
          </w:tcPr>
          <w:p w14:paraId="2827AD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6F886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C134C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6845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Summary:</w:t>
            </w:r>
          </w:p>
        </w:tc>
        <w:tc>
          <w:tcPr>
            <w:tcW w:w="6762" w:type="dxa"/>
            <w:tcBorders>
              <w:top w:val="nil"/>
              <w:left w:val="nil"/>
              <w:bottom w:val="single" w:sz="4" w:space="0" w:color="auto"/>
              <w:right w:val="single" w:sz="4" w:space="0" w:color="auto"/>
            </w:tcBorders>
            <w:shd w:val="clear" w:color="auto" w:fill="auto"/>
            <w:hideMark/>
          </w:tcPr>
          <w:p w14:paraId="3A36472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F5469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E28059"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5CFB3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1F591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A9640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offers a unique opportunity for potential funders to contribute to the advancement of mathematical understanding, technological innovation, and scientific research while promoting collaboration, knowledge sharing, and economic development. By aligning with the interests and values of the target audience, the project provides a compelling value proposition that resonates with funders seeking to make a meaningful impact on the world.</w:t>
            </w:r>
          </w:p>
        </w:tc>
        <w:tc>
          <w:tcPr>
            <w:tcW w:w="2566" w:type="dxa"/>
            <w:tcBorders>
              <w:top w:val="nil"/>
              <w:left w:val="nil"/>
              <w:bottom w:val="single" w:sz="4" w:space="0" w:color="auto"/>
              <w:right w:val="single" w:sz="4" w:space="0" w:color="auto"/>
            </w:tcBorders>
            <w:shd w:val="clear" w:color="auto" w:fill="auto"/>
            <w:hideMark/>
          </w:tcPr>
          <w:p w14:paraId="127036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A1A34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D62CC1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3D896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DCDA4A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531E8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0D677E"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2200D9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15B1F62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Unique Contribution to Prime Number Theory: </w:t>
            </w:r>
          </w:p>
        </w:tc>
        <w:tc>
          <w:tcPr>
            <w:tcW w:w="6762" w:type="dxa"/>
            <w:tcBorders>
              <w:top w:val="nil"/>
              <w:left w:val="nil"/>
              <w:bottom w:val="single" w:sz="4" w:space="0" w:color="auto"/>
              <w:right w:val="single" w:sz="4" w:space="0" w:color="auto"/>
            </w:tcBorders>
            <w:shd w:val="clear" w:color="auto" w:fill="auto"/>
            <w:hideMark/>
          </w:tcPr>
          <w:p w14:paraId="673D295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Highlight how the project offers a unique opportunity to contribute to advancing prime number theory. Emphasize any novel approaches, methodologies, or research questions that set the project apart from existing studies in the field.</w:t>
            </w:r>
          </w:p>
        </w:tc>
        <w:tc>
          <w:tcPr>
            <w:tcW w:w="2566" w:type="dxa"/>
            <w:tcBorders>
              <w:top w:val="nil"/>
              <w:left w:val="nil"/>
              <w:bottom w:val="single" w:sz="4" w:space="0" w:color="auto"/>
              <w:right w:val="single" w:sz="4" w:space="0" w:color="auto"/>
            </w:tcBorders>
            <w:shd w:val="clear" w:color="auto" w:fill="auto"/>
            <w:hideMark/>
          </w:tcPr>
          <w:p w14:paraId="306782B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Using a team of home-computers and also a team of cloud server computers all working togeather to search for primes.  Each install requires a user login and list of certificates of prime-finds.  A user may choose to give a prime-certificate to another user for any reason at all.  Perhaps a favorite number, or a low-digit prime interest.  No one can own a number, but can own the certificate of a find of a number group. Prime-certificates have a scientific value and foundation unlike any other proof-of-work system in use today such as any crypto-currency.  Useless computation on pointless algorithms.  Use this vast amount of electricity instead on searching for primes and accumulating find-certificates.</w:t>
            </w:r>
          </w:p>
        </w:tc>
      </w:tr>
      <w:tr w:rsidR="0041317E" w:rsidRPr="0041317E" w14:paraId="17956B9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348002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3B890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305953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Highlight how the project offers a unique opportunity to contribute to advancing prime number theory. Emphasize any novel approaches, methodologies, or research questions that set the project apart from existing studies in the field.</w:t>
            </w:r>
          </w:p>
        </w:tc>
        <w:tc>
          <w:tcPr>
            <w:tcW w:w="2566" w:type="dxa"/>
            <w:tcBorders>
              <w:top w:val="nil"/>
              <w:left w:val="nil"/>
              <w:bottom w:val="single" w:sz="4" w:space="0" w:color="auto"/>
              <w:right w:val="single" w:sz="4" w:space="0" w:color="auto"/>
            </w:tcBorders>
            <w:shd w:val="clear" w:color="auto" w:fill="auto"/>
            <w:hideMark/>
          </w:tcPr>
          <w:p w14:paraId="483AEC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50A77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A4CED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3A4E5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Team Collaboration for Prime Number Discovery:</w:t>
            </w:r>
          </w:p>
        </w:tc>
        <w:tc>
          <w:tcPr>
            <w:tcW w:w="6762" w:type="dxa"/>
            <w:tcBorders>
              <w:top w:val="nil"/>
              <w:left w:val="nil"/>
              <w:bottom w:val="single" w:sz="4" w:space="0" w:color="auto"/>
              <w:right w:val="single" w:sz="4" w:space="0" w:color="auto"/>
            </w:tcBorders>
            <w:shd w:val="clear" w:color="auto" w:fill="auto"/>
            <w:hideMark/>
          </w:tcPr>
          <w:p w14:paraId="5BDC45B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C6C06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0C430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C34CC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860B4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6BB84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distinguishes itself by harnessing the collective computing power of a diverse network of home computers and cloud servers, working collaboratively to search for prime numbers. This approach represents a novel and innovative method for prime number discovery, leveraging the combined resources of individual contributors to tackle large-scale computational challenges.</w:t>
            </w:r>
          </w:p>
        </w:tc>
        <w:tc>
          <w:tcPr>
            <w:tcW w:w="2566" w:type="dxa"/>
            <w:tcBorders>
              <w:top w:val="nil"/>
              <w:left w:val="nil"/>
              <w:bottom w:val="single" w:sz="4" w:space="0" w:color="auto"/>
              <w:right w:val="single" w:sz="4" w:space="0" w:color="auto"/>
            </w:tcBorders>
            <w:shd w:val="clear" w:color="auto" w:fill="auto"/>
            <w:hideMark/>
          </w:tcPr>
          <w:p w14:paraId="1C893D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C00E8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974A7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5122C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B066C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involving users from around the world in the search for prime numbers, the project fosters a sense of community and collaboration, democratizing access to scientific research and empowering individuals to contribute to the advancement of prime number theory.</w:t>
            </w:r>
          </w:p>
        </w:tc>
        <w:tc>
          <w:tcPr>
            <w:tcW w:w="2566" w:type="dxa"/>
            <w:tcBorders>
              <w:top w:val="nil"/>
              <w:left w:val="nil"/>
              <w:bottom w:val="single" w:sz="4" w:space="0" w:color="auto"/>
              <w:right w:val="single" w:sz="4" w:space="0" w:color="auto"/>
            </w:tcBorders>
            <w:shd w:val="clear" w:color="auto" w:fill="auto"/>
            <w:hideMark/>
          </w:tcPr>
          <w:p w14:paraId="346431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B3876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CFA0FD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3E407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User Engagement and Certificate System:</w:t>
            </w:r>
          </w:p>
        </w:tc>
        <w:tc>
          <w:tcPr>
            <w:tcW w:w="6762" w:type="dxa"/>
            <w:tcBorders>
              <w:top w:val="nil"/>
              <w:left w:val="nil"/>
              <w:bottom w:val="single" w:sz="4" w:space="0" w:color="auto"/>
              <w:right w:val="single" w:sz="4" w:space="0" w:color="auto"/>
            </w:tcBorders>
            <w:shd w:val="clear" w:color="auto" w:fill="auto"/>
            <w:hideMark/>
          </w:tcPr>
          <w:p w14:paraId="2F3BD6C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AC011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CA7CC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C5F754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2226D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38D2F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One unique aspect of the project is the implementation of a user login system and a certificate of prime-find system. Each user's contributions are tracked and rewarded with certificates of prime finds, which serve as tangible evidence of their participation and contribution to the project.</w:t>
            </w:r>
          </w:p>
        </w:tc>
        <w:tc>
          <w:tcPr>
            <w:tcW w:w="2566" w:type="dxa"/>
            <w:tcBorders>
              <w:top w:val="nil"/>
              <w:left w:val="nil"/>
              <w:bottom w:val="single" w:sz="4" w:space="0" w:color="auto"/>
              <w:right w:val="single" w:sz="4" w:space="0" w:color="auto"/>
            </w:tcBorders>
            <w:shd w:val="clear" w:color="auto" w:fill="auto"/>
            <w:hideMark/>
          </w:tcPr>
          <w:p w14:paraId="4102CE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1E5E9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A22784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6BF67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3D9C93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This certificate system not only incentivizes user engagement but also provides a novel mechanism for acknowledging and rewarding users for their contributions to prime number research. It creates a sense of ownership and pride among users, who can share their certificates with others as a symbol of their involvement in scientific discovery.</w:t>
            </w:r>
          </w:p>
        </w:tc>
        <w:tc>
          <w:tcPr>
            <w:tcW w:w="2566" w:type="dxa"/>
            <w:tcBorders>
              <w:top w:val="nil"/>
              <w:left w:val="nil"/>
              <w:bottom w:val="single" w:sz="4" w:space="0" w:color="auto"/>
              <w:right w:val="single" w:sz="4" w:space="0" w:color="auto"/>
            </w:tcBorders>
            <w:shd w:val="clear" w:color="auto" w:fill="auto"/>
            <w:hideMark/>
          </w:tcPr>
          <w:p w14:paraId="6509AC2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4B603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B1E80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382F9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Scientific Value of Prime Certificates:</w:t>
            </w:r>
          </w:p>
        </w:tc>
        <w:tc>
          <w:tcPr>
            <w:tcW w:w="6762" w:type="dxa"/>
            <w:tcBorders>
              <w:top w:val="nil"/>
              <w:left w:val="nil"/>
              <w:bottom w:val="single" w:sz="4" w:space="0" w:color="auto"/>
              <w:right w:val="single" w:sz="4" w:space="0" w:color="auto"/>
            </w:tcBorders>
            <w:shd w:val="clear" w:color="auto" w:fill="auto"/>
            <w:hideMark/>
          </w:tcPr>
          <w:p w14:paraId="0286B5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DBD3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7FBF3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6B7A1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BC64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574E4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certificates represent a significant departure from traditional proof-of-work systems used in cryptocurrencies and other domains. Unlike the arbitrary computations performed in these systems, the computation involved in searching for prime numbers has inherent scientific value and contributes directly to mathematical knowledge.</w:t>
            </w:r>
          </w:p>
        </w:tc>
        <w:tc>
          <w:tcPr>
            <w:tcW w:w="2566" w:type="dxa"/>
            <w:tcBorders>
              <w:top w:val="nil"/>
              <w:left w:val="nil"/>
              <w:bottom w:val="single" w:sz="4" w:space="0" w:color="auto"/>
              <w:right w:val="single" w:sz="4" w:space="0" w:color="auto"/>
            </w:tcBorders>
            <w:shd w:val="clear" w:color="auto" w:fill="auto"/>
            <w:hideMark/>
          </w:tcPr>
          <w:p w14:paraId="4362771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7C545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6D87A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D1035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27A473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redirecting computational resources towards the search for prime numbers, the project promotes scientific research and discovery while also addressing practical concerns about energy consumption and environmental impact associated with traditional proof-of-work systems.</w:t>
            </w:r>
          </w:p>
        </w:tc>
        <w:tc>
          <w:tcPr>
            <w:tcW w:w="2566" w:type="dxa"/>
            <w:tcBorders>
              <w:top w:val="nil"/>
              <w:left w:val="nil"/>
              <w:bottom w:val="single" w:sz="4" w:space="0" w:color="auto"/>
              <w:right w:val="single" w:sz="4" w:space="0" w:color="auto"/>
            </w:tcBorders>
            <w:shd w:val="clear" w:color="auto" w:fill="auto"/>
            <w:hideMark/>
          </w:tcPr>
          <w:p w14:paraId="080C14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FE44F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6BB4F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EBF4F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Promotion of Scientific Literacy and Engagement:</w:t>
            </w:r>
          </w:p>
        </w:tc>
        <w:tc>
          <w:tcPr>
            <w:tcW w:w="6762" w:type="dxa"/>
            <w:tcBorders>
              <w:top w:val="nil"/>
              <w:left w:val="nil"/>
              <w:bottom w:val="single" w:sz="4" w:space="0" w:color="auto"/>
              <w:right w:val="single" w:sz="4" w:space="0" w:color="auto"/>
            </w:tcBorders>
            <w:shd w:val="clear" w:color="auto" w:fill="auto"/>
            <w:hideMark/>
          </w:tcPr>
          <w:p w14:paraId="29226BA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8887B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F6102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3A78C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D501A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AC98E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not only advances prime number theory but also promotes scientific literacy and engagement among participants. By involving users in the process of prime number discovery and providing educational resources and opportunities for learning, the project fosters a deeper understanding of mathematical concepts and encourages lifelong learning and curiosity.</w:t>
            </w:r>
          </w:p>
        </w:tc>
        <w:tc>
          <w:tcPr>
            <w:tcW w:w="2566" w:type="dxa"/>
            <w:tcBorders>
              <w:top w:val="nil"/>
              <w:left w:val="nil"/>
              <w:bottom w:val="single" w:sz="4" w:space="0" w:color="auto"/>
              <w:right w:val="single" w:sz="4" w:space="0" w:color="auto"/>
            </w:tcBorders>
            <w:shd w:val="clear" w:color="auto" w:fill="auto"/>
            <w:hideMark/>
          </w:tcPr>
          <w:p w14:paraId="0B72320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9D2EE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8D6B1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6A862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A92CE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its user-friendly interface and accessible approach to scientific research, the project empowers individuals of all backgrounds to participate in the pursuit of knowledge and contribute to the advancement of prime number theory.</w:t>
            </w:r>
          </w:p>
        </w:tc>
        <w:tc>
          <w:tcPr>
            <w:tcW w:w="2566" w:type="dxa"/>
            <w:tcBorders>
              <w:top w:val="nil"/>
              <w:left w:val="nil"/>
              <w:bottom w:val="single" w:sz="4" w:space="0" w:color="auto"/>
              <w:right w:val="single" w:sz="4" w:space="0" w:color="auto"/>
            </w:tcBorders>
            <w:shd w:val="clear" w:color="auto" w:fill="auto"/>
            <w:hideMark/>
          </w:tcPr>
          <w:p w14:paraId="592C96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C7BE2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F1C6B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4B0CE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Conclusion: </w:t>
            </w:r>
          </w:p>
        </w:tc>
        <w:tc>
          <w:tcPr>
            <w:tcW w:w="6762" w:type="dxa"/>
            <w:tcBorders>
              <w:top w:val="nil"/>
              <w:left w:val="nil"/>
              <w:bottom w:val="single" w:sz="4" w:space="0" w:color="auto"/>
              <w:right w:val="single" w:sz="4" w:space="0" w:color="auto"/>
            </w:tcBorders>
            <w:shd w:val="clear" w:color="auto" w:fill="auto"/>
            <w:hideMark/>
          </w:tcPr>
          <w:p w14:paraId="6A39E80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A8762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BFC421"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77D750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378F3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7E40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 summary, the PrimeBookOne project offers a unique and innovative approach to advancing prime number theory, leveraging the collective computing power of a global network of users to tackle challenging computational problems. By promoting collaboration, user engagement, and scientific research, the project not only contributes to our understanding of prime numbers but also fosters a sense of community and empowerment among participants.</w:t>
            </w:r>
          </w:p>
        </w:tc>
        <w:tc>
          <w:tcPr>
            <w:tcW w:w="2566" w:type="dxa"/>
            <w:tcBorders>
              <w:top w:val="nil"/>
              <w:left w:val="nil"/>
              <w:bottom w:val="single" w:sz="4" w:space="0" w:color="auto"/>
              <w:right w:val="single" w:sz="4" w:space="0" w:color="auto"/>
            </w:tcBorders>
            <w:shd w:val="clear" w:color="auto" w:fill="auto"/>
            <w:hideMark/>
          </w:tcPr>
          <w:p w14:paraId="666AD0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17760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9D3F1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EAF22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57C0F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393A4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610936"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391816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6C3566C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Intellectual Challenge and Discovery: </w:t>
            </w:r>
          </w:p>
        </w:tc>
        <w:tc>
          <w:tcPr>
            <w:tcW w:w="6762" w:type="dxa"/>
            <w:tcBorders>
              <w:top w:val="nil"/>
              <w:left w:val="nil"/>
              <w:bottom w:val="single" w:sz="4" w:space="0" w:color="auto"/>
              <w:right w:val="single" w:sz="4" w:space="0" w:color="auto"/>
            </w:tcBorders>
            <w:shd w:val="clear" w:color="auto" w:fill="auto"/>
            <w:hideMark/>
          </w:tcPr>
          <w:p w14:paraId="57B3EB5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Appeal to potential funders' curiosity and passion for intellectual exploration by emphasizing the inherent challenge and excitement of studying prime numbers. Highlight the potential for groundbreaking discoveries and new insights that could emerge from the research.</w:t>
            </w:r>
          </w:p>
        </w:tc>
        <w:tc>
          <w:tcPr>
            <w:tcW w:w="2566" w:type="dxa"/>
            <w:tcBorders>
              <w:top w:val="nil"/>
              <w:left w:val="nil"/>
              <w:bottom w:val="single" w:sz="4" w:space="0" w:color="auto"/>
              <w:right w:val="single" w:sz="4" w:space="0" w:color="auto"/>
            </w:tcBorders>
            <w:shd w:val="clear" w:color="auto" w:fill="auto"/>
            <w:hideMark/>
          </w:tcPr>
          <w:p w14:paraId="2C57E1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What is better to collect than numbers.  Mother always said you gotta count them numbers.  This is a real scientific endeavor, not some quick money-maker to waste electricity on an un-foundationable electronic-ticket.  What is the crypto trying to do, de-crypt an iphone 5?  What a pointless thing, to mine, mine for what? something real?  Like prime numbers, unique?  Or what, what are these miner's really computing?  Will we ever know? I want to know everything my computer does.  It counts Primes!  My computer also cooks, my electricity bill is going into actual number-find certificates?  Giant numbers aiming to become larger than a 4 gigabyte file laid out bit by bit to create one giant number.  Everything is a number, some very very large numbers like us as individual humans.</w:t>
            </w:r>
          </w:p>
        </w:tc>
      </w:tr>
      <w:tr w:rsidR="0041317E" w:rsidRPr="0041317E" w14:paraId="0E485C9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FAB288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3E503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98C01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Emphasize the inherent challenge and excitement of studying prime numbers, appealing to potential funders' curiosity and passion for intellectual exploration. Highlight the potential for groundbreaking discoveries and new insights that could emerge from the research.</w:t>
            </w:r>
          </w:p>
        </w:tc>
        <w:tc>
          <w:tcPr>
            <w:tcW w:w="2566" w:type="dxa"/>
            <w:tcBorders>
              <w:top w:val="nil"/>
              <w:left w:val="nil"/>
              <w:bottom w:val="single" w:sz="4" w:space="0" w:color="auto"/>
              <w:right w:val="single" w:sz="4" w:space="0" w:color="auto"/>
            </w:tcBorders>
            <w:shd w:val="clear" w:color="auto" w:fill="auto"/>
            <w:hideMark/>
          </w:tcPr>
          <w:p w14:paraId="300D6E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27931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914AE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7FCCF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Intrinsic Fascination of Prime Numbers:</w:t>
            </w:r>
          </w:p>
        </w:tc>
        <w:tc>
          <w:tcPr>
            <w:tcW w:w="6762" w:type="dxa"/>
            <w:tcBorders>
              <w:top w:val="nil"/>
              <w:left w:val="nil"/>
              <w:bottom w:val="single" w:sz="4" w:space="0" w:color="auto"/>
              <w:right w:val="single" w:sz="4" w:space="0" w:color="auto"/>
            </w:tcBorders>
            <w:shd w:val="clear" w:color="auto" w:fill="auto"/>
            <w:hideMark/>
          </w:tcPr>
          <w:p w14:paraId="36E61C4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D8C5C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8AD30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843D8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D41CB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D5F010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possess a timeless allure that captivates the minds of mathematicians and enthusiasts alike. Their enigmatic nature, characterized by their indivisibility except by themselves and one, presents an intellectual challenge that has intrigued scholars for millennia.</w:t>
            </w:r>
          </w:p>
        </w:tc>
        <w:tc>
          <w:tcPr>
            <w:tcW w:w="2566" w:type="dxa"/>
            <w:tcBorders>
              <w:top w:val="nil"/>
              <w:left w:val="nil"/>
              <w:bottom w:val="single" w:sz="4" w:space="0" w:color="auto"/>
              <w:right w:val="single" w:sz="4" w:space="0" w:color="auto"/>
            </w:tcBorders>
            <w:shd w:val="clear" w:color="auto" w:fill="auto"/>
            <w:hideMark/>
          </w:tcPr>
          <w:p w14:paraId="70B86F1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F0112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ECF39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DA916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097DA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contributing to the PrimeBookOne project, funders have the opportunity to engage in a quest for knowledge that transcends the mundane and delves into the realm of pure abstraction. This endeavor offers a unique blend of mathematical rigor and creative problem-solving, inviting participants to explore the mysteries of prime numbers and unlock new realms of understanding.</w:t>
            </w:r>
          </w:p>
        </w:tc>
        <w:tc>
          <w:tcPr>
            <w:tcW w:w="2566" w:type="dxa"/>
            <w:tcBorders>
              <w:top w:val="nil"/>
              <w:left w:val="nil"/>
              <w:bottom w:val="single" w:sz="4" w:space="0" w:color="auto"/>
              <w:right w:val="single" w:sz="4" w:space="0" w:color="auto"/>
            </w:tcBorders>
            <w:shd w:val="clear" w:color="auto" w:fill="auto"/>
            <w:hideMark/>
          </w:tcPr>
          <w:p w14:paraId="312649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5336D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8CDB9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4A1C5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Quest for Meaningful Discovery:</w:t>
            </w:r>
          </w:p>
        </w:tc>
        <w:tc>
          <w:tcPr>
            <w:tcW w:w="6762" w:type="dxa"/>
            <w:tcBorders>
              <w:top w:val="nil"/>
              <w:left w:val="nil"/>
              <w:bottom w:val="single" w:sz="4" w:space="0" w:color="auto"/>
              <w:right w:val="single" w:sz="4" w:space="0" w:color="auto"/>
            </w:tcBorders>
            <w:shd w:val="clear" w:color="auto" w:fill="auto"/>
            <w:hideMark/>
          </w:tcPr>
          <w:p w14:paraId="712EAC0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68B0B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39ADD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66AAA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16CC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9F5BA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study of prime numbers is not merely an academic pursuit; it is a journey of discovery that holds the potential for profound insights and revelations. Every prime number uncovered represents a triumph of human intellect and a step forward in our collective understanding of the universe.</w:t>
            </w:r>
          </w:p>
        </w:tc>
        <w:tc>
          <w:tcPr>
            <w:tcW w:w="2566" w:type="dxa"/>
            <w:tcBorders>
              <w:top w:val="nil"/>
              <w:left w:val="nil"/>
              <w:bottom w:val="single" w:sz="4" w:space="0" w:color="auto"/>
              <w:right w:val="single" w:sz="4" w:space="0" w:color="auto"/>
            </w:tcBorders>
            <w:shd w:val="clear" w:color="auto" w:fill="auto"/>
            <w:hideMark/>
          </w:tcPr>
          <w:p w14:paraId="2A8BE7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DFFB43"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43CFE7C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FAA33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5549F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supporting the PrimeBookOne project, funders become active participants in this quest for meaningful discovery, contributing their computational resources and intellectual curiosity to the exploration of uncharted mathematical territory. The thrill of uncovering previously unknown prime numbers and unraveling the patterns that underlie their distribution is a reward in itself, offering a sense of fulfillment and accomplishment that transcends monetary gain.</w:t>
            </w:r>
          </w:p>
        </w:tc>
        <w:tc>
          <w:tcPr>
            <w:tcW w:w="2566" w:type="dxa"/>
            <w:tcBorders>
              <w:top w:val="nil"/>
              <w:left w:val="nil"/>
              <w:bottom w:val="single" w:sz="4" w:space="0" w:color="auto"/>
              <w:right w:val="single" w:sz="4" w:space="0" w:color="auto"/>
            </w:tcBorders>
            <w:shd w:val="clear" w:color="auto" w:fill="auto"/>
            <w:hideMark/>
          </w:tcPr>
          <w:p w14:paraId="4603EE7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B6F2A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EB6FD5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23230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Contrasting with Traditional Proof-of-Work Systems:</w:t>
            </w:r>
          </w:p>
        </w:tc>
        <w:tc>
          <w:tcPr>
            <w:tcW w:w="6762" w:type="dxa"/>
            <w:tcBorders>
              <w:top w:val="nil"/>
              <w:left w:val="nil"/>
              <w:bottom w:val="single" w:sz="4" w:space="0" w:color="auto"/>
              <w:right w:val="single" w:sz="4" w:space="0" w:color="auto"/>
            </w:tcBorders>
            <w:shd w:val="clear" w:color="auto" w:fill="auto"/>
            <w:hideMark/>
          </w:tcPr>
          <w:p w14:paraId="480333E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DEA40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ADE0B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B872AE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86025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157BD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Unlike traditional proof-of-work systems used in cryptocurrencies, where computational power is expended on arbitrary calculations with no inherent scientific value, the PrimeBookOne project redirects computational resources towards a noble and intellectually stimulating pursuit.</w:t>
            </w:r>
          </w:p>
        </w:tc>
        <w:tc>
          <w:tcPr>
            <w:tcW w:w="2566" w:type="dxa"/>
            <w:tcBorders>
              <w:top w:val="nil"/>
              <w:left w:val="nil"/>
              <w:bottom w:val="single" w:sz="4" w:space="0" w:color="auto"/>
              <w:right w:val="single" w:sz="4" w:space="0" w:color="auto"/>
            </w:tcBorders>
            <w:shd w:val="clear" w:color="auto" w:fill="auto"/>
            <w:hideMark/>
          </w:tcPr>
          <w:p w14:paraId="563C705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0BB98E"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493A2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CEF62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4C5F93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While cryptocurrencies may offer financial incentives for mining activities, the PrimeBookOne project offers something far more valuable: the opportunity to engage in meaningful scientific research and contribute to the advancement of human knowledge. It represents a paradigm shift in the way we harness computational power, prioritizing intellectual exploration and discovery over profit-driven motives.</w:t>
            </w:r>
          </w:p>
        </w:tc>
        <w:tc>
          <w:tcPr>
            <w:tcW w:w="2566" w:type="dxa"/>
            <w:tcBorders>
              <w:top w:val="nil"/>
              <w:left w:val="nil"/>
              <w:bottom w:val="single" w:sz="4" w:space="0" w:color="auto"/>
              <w:right w:val="single" w:sz="4" w:space="0" w:color="auto"/>
            </w:tcBorders>
            <w:shd w:val="clear" w:color="auto" w:fill="auto"/>
            <w:hideMark/>
          </w:tcPr>
          <w:p w14:paraId="19F715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9A62F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7DA47E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04BE5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Empowerment through Participation:</w:t>
            </w:r>
          </w:p>
        </w:tc>
        <w:tc>
          <w:tcPr>
            <w:tcW w:w="6762" w:type="dxa"/>
            <w:tcBorders>
              <w:top w:val="nil"/>
              <w:left w:val="nil"/>
              <w:bottom w:val="single" w:sz="4" w:space="0" w:color="auto"/>
              <w:right w:val="single" w:sz="4" w:space="0" w:color="auto"/>
            </w:tcBorders>
            <w:shd w:val="clear" w:color="auto" w:fill="auto"/>
            <w:hideMark/>
          </w:tcPr>
          <w:p w14:paraId="0D07A2A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8F84C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3FBA8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5D3BA1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977AD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51876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empowers individuals to become active participants in the scientific process, democratizing access to mathematical research and fostering a sense of ownership and pride in one's contributions to the field.</w:t>
            </w:r>
          </w:p>
        </w:tc>
        <w:tc>
          <w:tcPr>
            <w:tcW w:w="2566" w:type="dxa"/>
            <w:tcBorders>
              <w:top w:val="nil"/>
              <w:left w:val="nil"/>
              <w:bottom w:val="single" w:sz="4" w:space="0" w:color="auto"/>
              <w:right w:val="single" w:sz="4" w:space="0" w:color="auto"/>
            </w:tcBorders>
            <w:shd w:val="clear" w:color="auto" w:fill="auto"/>
            <w:hideMark/>
          </w:tcPr>
          <w:p w14:paraId="7EC4D58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35645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7E4F4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77BE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D547F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joining forces with like-minded individuals from around the world, funders can collaborate on a global scale to tackle some of the most challenging problems in mathematics. This spirit of collective inquiry and collaboration embodies the true essence of scientific exploration, transcending boundaries of geography, culture, and background.</w:t>
            </w:r>
          </w:p>
        </w:tc>
        <w:tc>
          <w:tcPr>
            <w:tcW w:w="2566" w:type="dxa"/>
            <w:tcBorders>
              <w:top w:val="nil"/>
              <w:left w:val="nil"/>
              <w:bottom w:val="single" w:sz="4" w:space="0" w:color="auto"/>
              <w:right w:val="single" w:sz="4" w:space="0" w:color="auto"/>
            </w:tcBorders>
            <w:shd w:val="clear" w:color="auto" w:fill="auto"/>
            <w:hideMark/>
          </w:tcPr>
          <w:p w14:paraId="4A3793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A883C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85855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E6F38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Conclusion: </w:t>
            </w:r>
          </w:p>
        </w:tc>
        <w:tc>
          <w:tcPr>
            <w:tcW w:w="6762" w:type="dxa"/>
            <w:tcBorders>
              <w:top w:val="nil"/>
              <w:left w:val="nil"/>
              <w:bottom w:val="single" w:sz="4" w:space="0" w:color="auto"/>
              <w:right w:val="single" w:sz="4" w:space="0" w:color="auto"/>
            </w:tcBorders>
            <w:shd w:val="clear" w:color="auto" w:fill="auto"/>
            <w:hideMark/>
          </w:tcPr>
          <w:p w14:paraId="1A19FD4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1668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E548AF"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BD56B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9740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A15B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 summary, the PrimeBookOne project offers a unique opportunity for funders to engage in a thrilling intellectual adventure, exploring the mysteries of prime numbers and uncovering new insights that have the potential to shape our understanding of the universe. By supporting this endeavor, funders become active participants in the quest for knowledge, contributing their computational resources and intellectual curiosity to the pursuit of meaningful discovery.</w:t>
            </w:r>
          </w:p>
        </w:tc>
        <w:tc>
          <w:tcPr>
            <w:tcW w:w="2566" w:type="dxa"/>
            <w:tcBorders>
              <w:top w:val="nil"/>
              <w:left w:val="nil"/>
              <w:bottom w:val="single" w:sz="4" w:space="0" w:color="auto"/>
              <w:right w:val="single" w:sz="4" w:space="0" w:color="auto"/>
            </w:tcBorders>
            <w:shd w:val="clear" w:color="auto" w:fill="auto"/>
            <w:hideMark/>
          </w:tcPr>
          <w:p w14:paraId="4743BE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9846E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32208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BF9A3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8C14A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9025C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243E26"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6EE4EA4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FB8D6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Practical Applications and Real-World Impact: </w:t>
            </w:r>
          </w:p>
        </w:tc>
        <w:tc>
          <w:tcPr>
            <w:tcW w:w="6762" w:type="dxa"/>
            <w:tcBorders>
              <w:top w:val="nil"/>
              <w:left w:val="nil"/>
              <w:bottom w:val="single" w:sz="4" w:space="0" w:color="auto"/>
              <w:right w:val="single" w:sz="4" w:space="0" w:color="auto"/>
            </w:tcBorders>
            <w:shd w:val="clear" w:color="auto" w:fill="auto"/>
            <w:hideMark/>
          </w:tcPr>
          <w:p w14:paraId="736BFDC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Illustrate the practical applications and real-world impact of the project, particularly in areas such as cryptography, computer science, and data security. Explain how advancements in prime number theory have direct implications for developing secure encryption algorithms, optimizing computational processes, and enhancing digital security.</w:t>
            </w:r>
          </w:p>
        </w:tc>
        <w:tc>
          <w:tcPr>
            <w:tcW w:w="2566" w:type="dxa"/>
            <w:tcBorders>
              <w:top w:val="nil"/>
              <w:left w:val="nil"/>
              <w:bottom w:val="single" w:sz="4" w:space="0" w:color="auto"/>
              <w:right w:val="single" w:sz="4" w:space="0" w:color="auto"/>
            </w:tcBorders>
            <w:shd w:val="clear" w:color="auto" w:fill="auto"/>
            <w:hideMark/>
          </w:tcPr>
          <w:p w14:paraId="10F3D4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xml:space="preserve">Medical, biological, therapeutical, so many different  faces of human knowledge are all backed by prime numbers.  Matching the natural and artificial rythems in our scientific studies to primes can show such mathematical peaks and wanes or perhaps is shows there is no prime rhythem.  Cryptographic security can be deciphered today with a large key library of unique numbers and thereby needs an even larger set of numbers to become mathematically unreachable even with a quantum cryptographic-decipher using primes.  Giving the modern computer user the access to mathematically unique variables for their own use cryprographically communicationally &amp; compressability.  </w:t>
            </w:r>
          </w:p>
        </w:tc>
      </w:tr>
      <w:tr w:rsidR="0041317E" w:rsidRPr="0041317E" w14:paraId="342C20F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A7130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50A42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B551A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Illustrate the practical applications and real-world impact of the project, particularly in areas such as cryptography, computer science, and data security. Explain how advancements in prime number theory have direct implications for developing secure encryption algorithms, optimizing computational processes, and enhancing digital security.</w:t>
            </w:r>
          </w:p>
        </w:tc>
        <w:tc>
          <w:tcPr>
            <w:tcW w:w="2566" w:type="dxa"/>
            <w:tcBorders>
              <w:top w:val="nil"/>
              <w:left w:val="nil"/>
              <w:bottom w:val="single" w:sz="4" w:space="0" w:color="auto"/>
              <w:right w:val="single" w:sz="4" w:space="0" w:color="auto"/>
            </w:tcBorders>
            <w:shd w:val="clear" w:color="auto" w:fill="auto"/>
            <w:hideMark/>
          </w:tcPr>
          <w:p w14:paraId="420AD2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D3AB3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BFA846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B6D60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Fundamental Role in Multiple Disciplines:</w:t>
            </w:r>
          </w:p>
        </w:tc>
        <w:tc>
          <w:tcPr>
            <w:tcW w:w="6762" w:type="dxa"/>
            <w:tcBorders>
              <w:top w:val="nil"/>
              <w:left w:val="nil"/>
              <w:bottom w:val="single" w:sz="4" w:space="0" w:color="auto"/>
              <w:right w:val="single" w:sz="4" w:space="0" w:color="auto"/>
            </w:tcBorders>
            <w:shd w:val="clear" w:color="auto" w:fill="auto"/>
            <w:hideMark/>
          </w:tcPr>
          <w:p w14:paraId="253DF6F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537C6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D4DCA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E5BAAD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B6598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95F62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serve as the bedrock of numerous scientific and technological fields, transcending the confines of mathematics to impact areas as diverse as cryptography, computer science, data security, and beyond. Their unique properties make them indispensable tools for solving complex problems and optimizing computational processes.</w:t>
            </w:r>
          </w:p>
        </w:tc>
        <w:tc>
          <w:tcPr>
            <w:tcW w:w="2566" w:type="dxa"/>
            <w:tcBorders>
              <w:top w:val="nil"/>
              <w:left w:val="nil"/>
              <w:bottom w:val="single" w:sz="4" w:space="0" w:color="auto"/>
              <w:right w:val="single" w:sz="4" w:space="0" w:color="auto"/>
            </w:tcBorders>
            <w:shd w:val="clear" w:color="auto" w:fill="auto"/>
            <w:hideMark/>
          </w:tcPr>
          <w:p w14:paraId="7F10E2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1FF25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22158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5370D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Medical and Biological Applications:</w:t>
            </w:r>
          </w:p>
        </w:tc>
        <w:tc>
          <w:tcPr>
            <w:tcW w:w="6762" w:type="dxa"/>
            <w:tcBorders>
              <w:top w:val="nil"/>
              <w:left w:val="nil"/>
              <w:bottom w:val="single" w:sz="4" w:space="0" w:color="auto"/>
              <w:right w:val="single" w:sz="4" w:space="0" w:color="auto"/>
            </w:tcBorders>
            <w:shd w:val="clear" w:color="auto" w:fill="auto"/>
            <w:hideMark/>
          </w:tcPr>
          <w:p w14:paraId="301C9DF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E570A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D9B25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1A1B4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83322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27D26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medical research and biological studies, prime numbers play a crucial role in analyzing and interpreting complex datasets. By aligning natural and artificial rhythms with prime numbers, researchers can uncover hidden patterns and correlations that may hold the key to understanding various biological phenomena, from genetic mutations to disease pathways.</w:t>
            </w:r>
          </w:p>
        </w:tc>
        <w:tc>
          <w:tcPr>
            <w:tcW w:w="2566" w:type="dxa"/>
            <w:tcBorders>
              <w:top w:val="nil"/>
              <w:left w:val="nil"/>
              <w:bottom w:val="single" w:sz="4" w:space="0" w:color="auto"/>
              <w:right w:val="single" w:sz="4" w:space="0" w:color="auto"/>
            </w:tcBorders>
            <w:shd w:val="clear" w:color="auto" w:fill="auto"/>
            <w:hideMark/>
          </w:tcPr>
          <w:p w14:paraId="11C01B0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58219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79A67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845B4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AF7E3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provide a mathematical framework for modeling biological processes and identifying critical points of intervention for therapeutic treatments. By leveraging the power of prime numbers, researchers can develop more effective therapies and improve patient outcomes in fields such as oncology, neurology, and pharmacology.</w:t>
            </w:r>
          </w:p>
        </w:tc>
        <w:tc>
          <w:tcPr>
            <w:tcW w:w="2566" w:type="dxa"/>
            <w:tcBorders>
              <w:top w:val="nil"/>
              <w:left w:val="nil"/>
              <w:bottom w:val="single" w:sz="4" w:space="0" w:color="auto"/>
              <w:right w:val="single" w:sz="4" w:space="0" w:color="auto"/>
            </w:tcBorders>
            <w:shd w:val="clear" w:color="auto" w:fill="auto"/>
            <w:hideMark/>
          </w:tcPr>
          <w:p w14:paraId="488953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57DEA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B0C98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429A9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Cryptographic Security and Data Protection:</w:t>
            </w:r>
          </w:p>
        </w:tc>
        <w:tc>
          <w:tcPr>
            <w:tcW w:w="6762" w:type="dxa"/>
            <w:tcBorders>
              <w:top w:val="nil"/>
              <w:left w:val="nil"/>
              <w:bottom w:val="single" w:sz="4" w:space="0" w:color="auto"/>
              <w:right w:val="single" w:sz="4" w:space="0" w:color="auto"/>
            </w:tcBorders>
            <w:shd w:val="clear" w:color="auto" w:fill="auto"/>
            <w:hideMark/>
          </w:tcPr>
          <w:p w14:paraId="5F31B96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1A335E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83214E"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F063A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0723D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F7EE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cryptographic security of digital communications relies heavily on the use of prime numbers to generate secure encryption keys and protect sensitive data from unauthorized access. By expanding the pool of available prime numbers through projects like PrimeBookOne, researchers can enhance cryptographic security and strengthen digital defenses against cyber threats.</w:t>
            </w:r>
          </w:p>
        </w:tc>
        <w:tc>
          <w:tcPr>
            <w:tcW w:w="2566" w:type="dxa"/>
            <w:tcBorders>
              <w:top w:val="nil"/>
              <w:left w:val="nil"/>
              <w:bottom w:val="single" w:sz="4" w:space="0" w:color="auto"/>
              <w:right w:val="single" w:sz="4" w:space="0" w:color="auto"/>
            </w:tcBorders>
            <w:shd w:val="clear" w:color="auto" w:fill="auto"/>
            <w:hideMark/>
          </w:tcPr>
          <w:p w14:paraId="4374C3A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20F8A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EA191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4FA9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62E7F3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With a larger key library of unique prime numbers, cryptographic algorithms become more resilient to attacks and more robust in protecting sensitive information. This not only safeguards individual privacy and data integrity but also underpins the security of critical infrastructure, financial transactions, and national security interests.</w:t>
            </w:r>
          </w:p>
        </w:tc>
        <w:tc>
          <w:tcPr>
            <w:tcW w:w="2566" w:type="dxa"/>
            <w:tcBorders>
              <w:top w:val="nil"/>
              <w:left w:val="nil"/>
              <w:bottom w:val="single" w:sz="4" w:space="0" w:color="auto"/>
              <w:right w:val="single" w:sz="4" w:space="0" w:color="auto"/>
            </w:tcBorders>
            <w:shd w:val="clear" w:color="auto" w:fill="auto"/>
            <w:hideMark/>
          </w:tcPr>
          <w:p w14:paraId="30D226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91AD6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0F01C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8CA64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Computational Optimization and Efficiency:</w:t>
            </w:r>
          </w:p>
        </w:tc>
        <w:tc>
          <w:tcPr>
            <w:tcW w:w="6762" w:type="dxa"/>
            <w:tcBorders>
              <w:top w:val="nil"/>
              <w:left w:val="nil"/>
              <w:bottom w:val="single" w:sz="4" w:space="0" w:color="auto"/>
              <w:right w:val="single" w:sz="4" w:space="0" w:color="auto"/>
            </w:tcBorders>
            <w:shd w:val="clear" w:color="auto" w:fill="auto"/>
            <w:hideMark/>
          </w:tcPr>
          <w:p w14:paraId="7CD4D80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C70484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7C723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1B6FC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F137B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7F29CD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numbers offer opportunities for optimizing computational processes and improving efficiency in a wide range of applications. By leveraging prime number theory, researchers can develop algorithms that exploit the unique properties of prime numbers to accelerate computation, reduce memory overhead, and enhance scalability.</w:t>
            </w:r>
          </w:p>
        </w:tc>
        <w:tc>
          <w:tcPr>
            <w:tcW w:w="2566" w:type="dxa"/>
            <w:tcBorders>
              <w:top w:val="nil"/>
              <w:left w:val="nil"/>
              <w:bottom w:val="single" w:sz="4" w:space="0" w:color="auto"/>
              <w:right w:val="single" w:sz="4" w:space="0" w:color="auto"/>
            </w:tcBorders>
            <w:shd w:val="clear" w:color="auto" w:fill="auto"/>
            <w:hideMark/>
          </w:tcPr>
          <w:p w14:paraId="017834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20223E"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037E52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5E0D5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31864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fields such as artificial intelligence, machine learning, and big data analytics, the efficient use of prime numbers can lead to significant performance gains and enable breakthroughs in solving complex problems. By harnessing the computational power of prime numbers, researchers can push the boundaries of what is possible in data-driven research and innovation.</w:t>
            </w:r>
          </w:p>
        </w:tc>
        <w:tc>
          <w:tcPr>
            <w:tcW w:w="2566" w:type="dxa"/>
            <w:tcBorders>
              <w:top w:val="nil"/>
              <w:left w:val="nil"/>
              <w:bottom w:val="single" w:sz="4" w:space="0" w:color="auto"/>
              <w:right w:val="single" w:sz="4" w:space="0" w:color="auto"/>
            </w:tcBorders>
            <w:shd w:val="clear" w:color="auto" w:fill="auto"/>
            <w:hideMark/>
          </w:tcPr>
          <w:p w14:paraId="50FA73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5C17F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2CE69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A50C0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Empowering Users with Mathematically Unique Variables:</w:t>
            </w:r>
          </w:p>
        </w:tc>
        <w:tc>
          <w:tcPr>
            <w:tcW w:w="6762" w:type="dxa"/>
            <w:tcBorders>
              <w:top w:val="nil"/>
              <w:left w:val="nil"/>
              <w:bottom w:val="single" w:sz="4" w:space="0" w:color="auto"/>
              <w:right w:val="single" w:sz="4" w:space="0" w:color="auto"/>
            </w:tcBorders>
            <w:shd w:val="clear" w:color="auto" w:fill="auto"/>
            <w:hideMark/>
          </w:tcPr>
          <w:p w14:paraId="1DCC5DE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43B91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E1A29F"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341000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F6AB3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6122F1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empowers modern computer users with access to mathematically unique variables for cryptographic communication, data compression, and computational analysis. By providing a comprehensive database of prime numbers and tools for their utilization, the project democratizes access to secure and efficient computing resources, empowering individuals and organizations to protect sensitive data and optimize computational processes.</w:t>
            </w:r>
          </w:p>
        </w:tc>
        <w:tc>
          <w:tcPr>
            <w:tcW w:w="2566" w:type="dxa"/>
            <w:tcBorders>
              <w:top w:val="nil"/>
              <w:left w:val="nil"/>
              <w:bottom w:val="single" w:sz="4" w:space="0" w:color="auto"/>
              <w:right w:val="single" w:sz="4" w:space="0" w:color="auto"/>
            </w:tcBorders>
            <w:shd w:val="clear" w:color="auto" w:fill="auto"/>
            <w:hideMark/>
          </w:tcPr>
          <w:p w14:paraId="62A4AF3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E4D4D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52893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C13B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0BF6C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integrating prime number theory into everyday computing practices, the PrimeBookOne project lays the foundation for a more secure, efficient, and resilient digital future. It equips users with the tools they need to navigate the complexities of the digital age and harness the power of prime numbers to address pressing challenges in cybersecurity, data privacy, and computational efficiency.</w:t>
            </w:r>
          </w:p>
        </w:tc>
        <w:tc>
          <w:tcPr>
            <w:tcW w:w="2566" w:type="dxa"/>
            <w:tcBorders>
              <w:top w:val="nil"/>
              <w:left w:val="nil"/>
              <w:bottom w:val="single" w:sz="4" w:space="0" w:color="auto"/>
              <w:right w:val="single" w:sz="4" w:space="0" w:color="auto"/>
            </w:tcBorders>
            <w:shd w:val="clear" w:color="auto" w:fill="auto"/>
            <w:hideMark/>
          </w:tcPr>
          <w:p w14:paraId="3605E3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3577C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7C4F2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8E4E0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Conclusion: </w:t>
            </w:r>
          </w:p>
        </w:tc>
        <w:tc>
          <w:tcPr>
            <w:tcW w:w="6762" w:type="dxa"/>
            <w:tcBorders>
              <w:top w:val="nil"/>
              <w:left w:val="nil"/>
              <w:bottom w:val="single" w:sz="4" w:space="0" w:color="auto"/>
              <w:right w:val="single" w:sz="4" w:space="0" w:color="auto"/>
            </w:tcBorders>
            <w:shd w:val="clear" w:color="auto" w:fill="auto"/>
            <w:hideMark/>
          </w:tcPr>
          <w:p w14:paraId="2355298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52713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48453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9408B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2BB39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95029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 summary, the PrimeBookOne project offers a transformative approach to leveraging prime number theory for practical applications and real-world impact. By advancing our understanding of prime numbers and expanding the pool of available prime numbers, the project opens up new possibilities for improving cryptographic security, optimizing computational processes, and enhancing digital resilience.</w:t>
            </w:r>
          </w:p>
        </w:tc>
        <w:tc>
          <w:tcPr>
            <w:tcW w:w="2566" w:type="dxa"/>
            <w:tcBorders>
              <w:top w:val="nil"/>
              <w:left w:val="nil"/>
              <w:bottom w:val="single" w:sz="4" w:space="0" w:color="auto"/>
              <w:right w:val="single" w:sz="4" w:space="0" w:color="auto"/>
            </w:tcBorders>
            <w:shd w:val="clear" w:color="auto" w:fill="auto"/>
            <w:hideMark/>
          </w:tcPr>
          <w:p w14:paraId="369236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2CA73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9943BE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CBD0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41D1DE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C0FFB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29A098" w14:textId="77777777" w:rsidTr="0041317E">
        <w:trPr>
          <w:trHeight w:val="6336"/>
        </w:trPr>
        <w:tc>
          <w:tcPr>
            <w:tcW w:w="1349" w:type="dxa"/>
            <w:tcBorders>
              <w:top w:val="nil"/>
              <w:left w:val="single" w:sz="4" w:space="0" w:color="auto"/>
              <w:bottom w:val="single" w:sz="4" w:space="0" w:color="auto"/>
              <w:right w:val="single" w:sz="4" w:space="0" w:color="auto"/>
            </w:tcBorders>
            <w:shd w:val="clear" w:color="auto" w:fill="auto"/>
            <w:hideMark/>
          </w:tcPr>
          <w:p w14:paraId="78189C8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633B0C2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Educational and Outreach Opportunities: </w:t>
            </w:r>
          </w:p>
        </w:tc>
        <w:tc>
          <w:tcPr>
            <w:tcW w:w="6762" w:type="dxa"/>
            <w:tcBorders>
              <w:top w:val="nil"/>
              <w:left w:val="nil"/>
              <w:bottom w:val="single" w:sz="4" w:space="0" w:color="auto"/>
              <w:right w:val="single" w:sz="4" w:space="0" w:color="auto"/>
            </w:tcBorders>
            <w:shd w:val="clear" w:color="auto" w:fill="auto"/>
            <w:hideMark/>
          </w:tcPr>
          <w:p w14:paraId="6B4D940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Showcase the project's potential to inspire and engage students, educators, and the broader community in mathematics and scientific inquiry. Highlight any plans for educational outreach, public engagement activities, or open-access resources that will accompany the research efforts and contribute to broader societal benefit.</w:t>
            </w:r>
          </w:p>
        </w:tc>
        <w:tc>
          <w:tcPr>
            <w:tcW w:w="2566" w:type="dxa"/>
            <w:tcBorders>
              <w:top w:val="nil"/>
              <w:left w:val="nil"/>
              <w:bottom w:val="single" w:sz="4" w:space="0" w:color="auto"/>
              <w:right w:val="single" w:sz="4" w:space="0" w:color="auto"/>
            </w:tcBorders>
            <w:shd w:val="clear" w:color="auto" w:fill="auto"/>
            <w:hideMark/>
          </w:tcPr>
          <w:p w14:paraId="1A3486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xml:space="preserve">Perhaps prime-certificates become valuable, or perhaps they just carry bragging rights.  I found primes what did you find?  Prime Candidate Prime Star Prime Everything Awesome!!!  There are so many key uses as prime just in language as examples… How about compression power of data beyond anything currently comprehensible. With so many people that need to find their prime reason to benefit human kind, this is the ancient world mathematics with today's human kind's math machines.Life, what is your prime target?  </w:t>
            </w:r>
          </w:p>
        </w:tc>
      </w:tr>
      <w:tr w:rsidR="0041317E" w:rsidRPr="0041317E" w14:paraId="505F68F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402C7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A3C38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91495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Showcase the project's potential to inspire and engage students, educators, and the broader community in mathematics and scientific inquiry. Highlight any plans for educational outreach, public engagement activities, or open-access resources that will accompany the research efforts and contribute to broader societal benefit.</w:t>
            </w:r>
          </w:p>
        </w:tc>
        <w:tc>
          <w:tcPr>
            <w:tcW w:w="2566" w:type="dxa"/>
            <w:tcBorders>
              <w:top w:val="nil"/>
              <w:left w:val="nil"/>
              <w:bottom w:val="single" w:sz="4" w:space="0" w:color="auto"/>
              <w:right w:val="single" w:sz="4" w:space="0" w:color="auto"/>
            </w:tcBorders>
            <w:shd w:val="clear" w:color="auto" w:fill="auto"/>
            <w:hideMark/>
          </w:tcPr>
          <w:p w14:paraId="22B68D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866BD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74B13D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45E55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Inspiring the Next Generation of Mathematicians:</w:t>
            </w:r>
          </w:p>
        </w:tc>
        <w:tc>
          <w:tcPr>
            <w:tcW w:w="6762" w:type="dxa"/>
            <w:tcBorders>
              <w:top w:val="nil"/>
              <w:left w:val="nil"/>
              <w:bottom w:val="single" w:sz="4" w:space="0" w:color="auto"/>
              <w:right w:val="single" w:sz="4" w:space="0" w:color="auto"/>
            </w:tcBorders>
            <w:shd w:val="clear" w:color="auto" w:fill="auto"/>
            <w:hideMark/>
          </w:tcPr>
          <w:p w14:paraId="127C35B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22571A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9CF29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CE3CBD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10659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16A50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presents a unique opportunity to ignite the passion for mathematics in students of all ages. By involving students in the process of prime number discovery and encouraging them to participate in the research efforts, the project fosters a sense of excitement and curiosity about the wonders of mathematics.</w:t>
            </w:r>
          </w:p>
        </w:tc>
        <w:tc>
          <w:tcPr>
            <w:tcW w:w="2566" w:type="dxa"/>
            <w:tcBorders>
              <w:top w:val="nil"/>
              <w:left w:val="nil"/>
              <w:bottom w:val="single" w:sz="4" w:space="0" w:color="auto"/>
              <w:right w:val="single" w:sz="4" w:space="0" w:color="auto"/>
            </w:tcBorders>
            <w:shd w:val="clear" w:color="auto" w:fill="auto"/>
            <w:hideMark/>
          </w:tcPr>
          <w:p w14:paraId="39C4EB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4291C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A14755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E71BB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1F3EC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educational outreach programs and public engagement activities, the project aims to inspire the next generation of mathematicians and scientists, nurturing their innate curiosity and encouraging them to explore the mysteries of prime numbers and mathematical theory.</w:t>
            </w:r>
          </w:p>
        </w:tc>
        <w:tc>
          <w:tcPr>
            <w:tcW w:w="2566" w:type="dxa"/>
            <w:tcBorders>
              <w:top w:val="nil"/>
              <w:left w:val="nil"/>
              <w:bottom w:val="single" w:sz="4" w:space="0" w:color="auto"/>
              <w:right w:val="single" w:sz="4" w:space="0" w:color="auto"/>
            </w:tcBorders>
            <w:shd w:val="clear" w:color="auto" w:fill="auto"/>
            <w:hideMark/>
          </w:tcPr>
          <w:p w14:paraId="47B754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EDC59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7DFF6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F9EFB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Engaging the Community in Scientific Inquiry:</w:t>
            </w:r>
          </w:p>
        </w:tc>
        <w:tc>
          <w:tcPr>
            <w:tcW w:w="6762" w:type="dxa"/>
            <w:tcBorders>
              <w:top w:val="nil"/>
              <w:left w:val="nil"/>
              <w:bottom w:val="single" w:sz="4" w:space="0" w:color="auto"/>
              <w:right w:val="single" w:sz="4" w:space="0" w:color="auto"/>
            </w:tcBorders>
            <w:shd w:val="clear" w:color="auto" w:fill="auto"/>
            <w:hideMark/>
          </w:tcPr>
          <w:p w14:paraId="606D712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19BD2A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60C7B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9C2C33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C720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3B23D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project's emphasis on open-access resources and collaborative research creates opportunities for members of the broader community to actively participate in scientific inquiry. By providing access to the PrimeBookOne database and tools for prime number analysis, the project democratizes access to cutting-edge research tools and empowers individuals to contribute to the advancement of mathematical knowledge.</w:t>
            </w:r>
          </w:p>
        </w:tc>
        <w:tc>
          <w:tcPr>
            <w:tcW w:w="2566" w:type="dxa"/>
            <w:tcBorders>
              <w:top w:val="nil"/>
              <w:left w:val="nil"/>
              <w:bottom w:val="single" w:sz="4" w:space="0" w:color="auto"/>
              <w:right w:val="single" w:sz="4" w:space="0" w:color="auto"/>
            </w:tcBorders>
            <w:shd w:val="clear" w:color="auto" w:fill="auto"/>
            <w:hideMark/>
          </w:tcPr>
          <w:p w14:paraId="28DBC6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A4D2D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5D98E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4306E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46C51A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Public engagement activities, such as workshops, lectures, and online forums, serve as platforms for fostering dialogue and collaboration among researchers, educators, students, and the general public. These activities create a vibrant ecosystem of scientific inquiry, where ideas are freely exchanged, and knowledge is co-created through collective effort.</w:t>
            </w:r>
          </w:p>
        </w:tc>
        <w:tc>
          <w:tcPr>
            <w:tcW w:w="2566" w:type="dxa"/>
            <w:tcBorders>
              <w:top w:val="nil"/>
              <w:left w:val="nil"/>
              <w:bottom w:val="single" w:sz="4" w:space="0" w:color="auto"/>
              <w:right w:val="single" w:sz="4" w:space="0" w:color="auto"/>
            </w:tcBorders>
            <w:shd w:val="clear" w:color="auto" w:fill="auto"/>
            <w:hideMark/>
          </w:tcPr>
          <w:p w14:paraId="7A86A6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ED97F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03A84F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0BA3F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Prime Certificates:</w:t>
            </w:r>
          </w:p>
        </w:tc>
        <w:tc>
          <w:tcPr>
            <w:tcW w:w="6762" w:type="dxa"/>
            <w:tcBorders>
              <w:top w:val="nil"/>
              <w:left w:val="nil"/>
              <w:bottom w:val="single" w:sz="4" w:space="0" w:color="auto"/>
              <w:right w:val="single" w:sz="4" w:space="0" w:color="auto"/>
            </w:tcBorders>
            <w:shd w:val="clear" w:color="auto" w:fill="auto"/>
            <w:hideMark/>
          </w:tcPr>
          <w:p w14:paraId="799D0E7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940FB1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F2008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1EBCD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2B074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3C3C14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certificates not only serve as tokens of achievement but also as vehicles for fostering community engagement and collaboration. By awarding prime certificates to individuals who discover new prime numbers or make significant contributions to prime number research, the project incentivizes participation and recognizes the efforts of participants.</w:t>
            </w:r>
          </w:p>
        </w:tc>
        <w:tc>
          <w:tcPr>
            <w:tcW w:w="2566" w:type="dxa"/>
            <w:tcBorders>
              <w:top w:val="nil"/>
              <w:left w:val="nil"/>
              <w:bottom w:val="single" w:sz="4" w:space="0" w:color="auto"/>
              <w:right w:val="single" w:sz="4" w:space="0" w:color="auto"/>
            </w:tcBorders>
            <w:shd w:val="clear" w:color="auto" w:fill="auto"/>
            <w:hideMark/>
          </w:tcPr>
          <w:p w14:paraId="17D9C1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8F036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A0B544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ACC65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42BBD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 certificates carry with them a sense of prestige and accomplishment, fueling friendly competition among participants and motivating them to push the boundaries of mathematical exploration. Whether used as bragging rights or as a symbol of dedication to the pursuit of knowledge, prime certificates serve as tangible reminders of the impact of individual contributions to the collective endeavor of prime number discovery.</w:t>
            </w:r>
          </w:p>
        </w:tc>
        <w:tc>
          <w:tcPr>
            <w:tcW w:w="2566" w:type="dxa"/>
            <w:tcBorders>
              <w:top w:val="nil"/>
              <w:left w:val="nil"/>
              <w:bottom w:val="single" w:sz="4" w:space="0" w:color="auto"/>
              <w:right w:val="single" w:sz="4" w:space="0" w:color="auto"/>
            </w:tcBorders>
            <w:shd w:val="clear" w:color="auto" w:fill="auto"/>
            <w:hideMark/>
          </w:tcPr>
          <w:p w14:paraId="552C3F8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63B78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28174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4F2D4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Compression Power and Computational Efficiency:</w:t>
            </w:r>
          </w:p>
        </w:tc>
        <w:tc>
          <w:tcPr>
            <w:tcW w:w="6762" w:type="dxa"/>
            <w:tcBorders>
              <w:top w:val="nil"/>
              <w:left w:val="nil"/>
              <w:bottom w:val="single" w:sz="4" w:space="0" w:color="auto"/>
              <w:right w:val="single" w:sz="4" w:space="0" w:color="auto"/>
            </w:tcBorders>
            <w:shd w:val="clear" w:color="auto" w:fill="auto"/>
            <w:hideMark/>
          </w:tcPr>
          <w:p w14:paraId="7789135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0B72D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0A031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283C10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9027F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5B12F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Beyond their symbolic value, prime numbers hold practical significance in fields such as data compression and computational efficiency. By harnessing the power of prime numbers to optimize algorithms and enhance computational processes, the project contributes to advancements in technology and innovation.</w:t>
            </w:r>
          </w:p>
        </w:tc>
        <w:tc>
          <w:tcPr>
            <w:tcW w:w="2566" w:type="dxa"/>
            <w:tcBorders>
              <w:top w:val="nil"/>
              <w:left w:val="nil"/>
              <w:bottom w:val="single" w:sz="4" w:space="0" w:color="auto"/>
              <w:right w:val="single" w:sz="4" w:space="0" w:color="auto"/>
            </w:tcBorders>
            <w:shd w:val="clear" w:color="auto" w:fill="auto"/>
            <w:hideMark/>
          </w:tcPr>
          <w:p w14:paraId="6CF285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298BCE"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E2633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9DDEC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78E8B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educational outreach initiatives and public engagement activities, the project aims to demystify the complexities of prime number theory and showcase its relevance to everyday life. By highlighting the practical applications of prime numbers in areas such as data compression, cryptography, and digital communication, the project inspires curiosity and encourages individuals to explore the intersection of mathematics and technology.</w:t>
            </w:r>
          </w:p>
        </w:tc>
        <w:tc>
          <w:tcPr>
            <w:tcW w:w="2566" w:type="dxa"/>
            <w:tcBorders>
              <w:top w:val="nil"/>
              <w:left w:val="nil"/>
              <w:bottom w:val="single" w:sz="4" w:space="0" w:color="auto"/>
              <w:right w:val="single" w:sz="4" w:space="0" w:color="auto"/>
            </w:tcBorders>
            <w:shd w:val="clear" w:color="auto" w:fill="auto"/>
            <w:hideMark/>
          </w:tcPr>
          <w:p w14:paraId="6A8570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F5CBB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0E51D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B6062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121648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BE56F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8D43EC"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0F9514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44521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0DA5F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xml:space="preserve"> In summary, the PrimeBookOne project offers a wealth of educational and outreach opportunities, inspiring students, educators, and the broader community to engage in mathematical inquiry and scientific exploration. By providing open-access resources, fostering collaboration, and recognizing individual contributions, the project empowers individuals to become active participants in the pursuit of knowledge and the advancement of mathematical understanding.</w:t>
            </w:r>
          </w:p>
        </w:tc>
        <w:tc>
          <w:tcPr>
            <w:tcW w:w="2566" w:type="dxa"/>
            <w:tcBorders>
              <w:top w:val="nil"/>
              <w:left w:val="nil"/>
              <w:bottom w:val="single" w:sz="4" w:space="0" w:color="auto"/>
              <w:right w:val="single" w:sz="4" w:space="0" w:color="auto"/>
            </w:tcBorders>
            <w:shd w:val="clear" w:color="auto" w:fill="auto"/>
            <w:hideMark/>
          </w:tcPr>
          <w:p w14:paraId="6BA44F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DB45F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B736AE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D92CA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792215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C15BC0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B49C17"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6F16E9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5D096B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Collaborative and Interdisciplinary Approach: </w:t>
            </w:r>
          </w:p>
        </w:tc>
        <w:tc>
          <w:tcPr>
            <w:tcW w:w="6762" w:type="dxa"/>
            <w:tcBorders>
              <w:top w:val="nil"/>
              <w:left w:val="nil"/>
              <w:bottom w:val="single" w:sz="4" w:space="0" w:color="auto"/>
              <w:right w:val="single" w:sz="4" w:space="0" w:color="auto"/>
            </w:tcBorders>
            <w:shd w:val="clear" w:color="auto" w:fill="auto"/>
            <w:hideMark/>
          </w:tcPr>
          <w:p w14:paraId="4D658C9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Emphasize the collaborative and interdisciplinary nature of the project, highlighting any partnerships, collaborations, or interdisciplinary research teams involved. Explain how the project brings together expertise from multiple disciplines to tackle complex scientific challenges and foster innovation.</w:t>
            </w:r>
          </w:p>
        </w:tc>
        <w:tc>
          <w:tcPr>
            <w:tcW w:w="2566" w:type="dxa"/>
            <w:tcBorders>
              <w:top w:val="nil"/>
              <w:left w:val="nil"/>
              <w:bottom w:val="single" w:sz="4" w:space="0" w:color="auto"/>
              <w:right w:val="single" w:sz="4" w:space="0" w:color="auto"/>
            </w:tcBorders>
            <w:shd w:val="clear" w:color="auto" w:fill="auto"/>
            <w:hideMark/>
          </w:tcPr>
          <w:p w14:paraId="4BCF31C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Educational and Business working towards the same goal without leaving the common ehtusiast behind.  Giant server farms will work while personal computers and phones can join in too.  Creating methods to share work across users who may or may not know each other, while at the same time being able to divy the individual work among serveral same user accounts, this is an every device can participate endeavor.  With computers actually working in the quest for the largest prime number rather than who-knows-what, we can put our computer electrical use to a better focus and productive effort.  With teams of technologists programmers mathematicians and culinary chefs, we can bring a happy smile to those fine-tuning the number-chruncher with delicious food of the parallel project Tardigradia land 'o' lil mushroom restaurant franchise.  Basically I wish PrimeBookOne &amp; Antikytherian PrimeBookTools to be very successful and be able to invest this success into the aforementioned Tardigradia Science-Park Game Animation Restaurant Franchise Parallel Project.</w:t>
            </w:r>
          </w:p>
        </w:tc>
      </w:tr>
      <w:tr w:rsidR="0041317E" w:rsidRPr="0041317E" w14:paraId="6507137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9D51C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B4891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FCF31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Emphasize the collaborative and interdisciplinary nature of the project, highlighting any partnerships, collaborations, or interdisciplinary research teams involved. Explain how the project brings together expertise from multiple disciplines to tackle complex scientific challenges and foster innovation.</w:t>
            </w:r>
          </w:p>
        </w:tc>
        <w:tc>
          <w:tcPr>
            <w:tcW w:w="2566" w:type="dxa"/>
            <w:tcBorders>
              <w:top w:val="nil"/>
              <w:left w:val="nil"/>
              <w:bottom w:val="single" w:sz="4" w:space="0" w:color="auto"/>
              <w:right w:val="single" w:sz="4" w:space="0" w:color="auto"/>
            </w:tcBorders>
            <w:shd w:val="clear" w:color="auto" w:fill="auto"/>
            <w:hideMark/>
          </w:tcPr>
          <w:p w14:paraId="020716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0DC5E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B8334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92070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Cross-Sector Collaboration:</w:t>
            </w:r>
          </w:p>
        </w:tc>
        <w:tc>
          <w:tcPr>
            <w:tcW w:w="6762" w:type="dxa"/>
            <w:tcBorders>
              <w:top w:val="nil"/>
              <w:left w:val="nil"/>
              <w:bottom w:val="single" w:sz="4" w:space="0" w:color="auto"/>
              <w:right w:val="single" w:sz="4" w:space="0" w:color="auto"/>
            </w:tcBorders>
            <w:shd w:val="clear" w:color="auto" w:fill="auto"/>
            <w:hideMark/>
          </w:tcPr>
          <w:p w14:paraId="24250B8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C3764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DF2F4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F6E73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55D3B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A87F4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embodies a spirit of collaboration and innovation by bringing together stakeholders from diverse sectors, including education, technology, business, and scientific research. By fostering collaboration across these sectors, the project harnesses the collective expertise and resources of its participants to tackle complex scientific challenges and drive innovation forward.</w:t>
            </w:r>
          </w:p>
        </w:tc>
        <w:tc>
          <w:tcPr>
            <w:tcW w:w="2566" w:type="dxa"/>
            <w:tcBorders>
              <w:top w:val="nil"/>
              <w:left w:val="nil"/>
              <w:bottom w:val="single" w:sz="4" w:space="0" w:color="auto"/>
              <w:right w:val="single" w:sz="4" w:space="0" w:color="auto"/>
            </w:tcBorders>
            <w:shd w:val="clear" w:color="auto" w:fill="auto"/>
            <w:hideMark/>
          </w:tcPr>
          <w:p w14:paraId="4927B8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81333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425393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0FDF7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FBFFB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Partnerships with educational institutions, research organizations, and technology companies enable the project to leverage a wide range of expertise and resources, from cutting-edge computational tools to specialized domain knowledge. This collaborative approach ensures that the project benefits from the insights and contributions of diverse stakeholders, leading to more robust and impactful outcomes.</w:t>
            </w:r>
          </w:p>
        </w:tc>
        <w:tc>
          <w:tcPr>
            <w:tcW w:w="2566" w:type="dxa"/>
            <w:tcBorders>
              <w:top w:val="nil"/>
              <w:left w:val="nil"/>
              <w:bottom w:val="single" w:sz="4" w:space="0" w:color="auto"/>
              <w:right w:val="single" w:sz="4" w:space="0" w:color="auto"/>
            </w:tcBorders>
            <w:shd w:val="clear" w:color="auto" w:fill="auto"/>
            <w:hideMark/>
          </w:tcPr>
          <w:p w14:paraId="388EE2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E2B1E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39723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34AB2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Inclusive Participation:</w:t>
            </w:r>
          </w:p>
        </w:tc>
        <w:tc>
          <w:tcPr>
            <w:tcW w:w="6762" w:type="dxa"/>
            <w:tcBorders>
              <w:top w:val="nil"/>
              <w:left w:val="nil"/>
              <w:bottom w:val="single" w:sz="4" w:space="0" w:color="auto"/>
              <w:right w:val="single" w:sz="4" w:space="0" w:color="auto"/>
            </w:tcBorders>
            <w:shd w:val="clear" w:color="auto" w:fill="auto"/>
            <w:hideMark/>
          </w:tcPr>
          <w:p w14:paraId="5798025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9E9C6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54863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BCF8AE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10FBF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9FEF9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project's interdisciplinary approach extends beyond traditional academic boundaries to include participation from individuals of all backgrounds and skill levels. By providing accessible tools and resources, the project empowers individuals to contribute to scientific research and innovation, regardless of their prior experience or expertise.</w:t>
            </w:r>
          </w:p>
        </w:tc>
        <w:tc>
          <w:tcPr>
            <w:tcW w:w="2566" w:type="dxa"/>
            <w:tcBorders>
              <w:top w:val="nil"/>
              <w:left w:val="nil"/>
              <w:bottom w:val="single" w:sz="4" w:space="0" w:color="auto"/>
              <w:right w:val="single" w:sz="4" w:space="0" w:color="auto"/>
            </w:tcBorders>
            <w:shd w:val="clear" w:color="auto" w:fill="auto"/>
            <w:hideMark/>
          </w:tcPr>
          <w:p w14:paraId="24B7C6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AF423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AADD0D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3167F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6DB6C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open-access platforms and collaborative networks, participants can engage in meaningful contributions to the project, whether by running computational simulations, analyzing data, or sharing insights and ideas. This inclusive participation fosters a sense of community and collective ownership of the project's goals and objectives, driving progress forward through shared effort and collaboration.</w:t>
            </w:r>
          </w:p>
        </w:tc>
        <w:tc>
          <w:tcPr>
            <w:tcW w:w="2566" w:type="dxa"/>
            <w:tcBorders>
              <w:top w:val="nil"/>
              <w:left w:val="nil"/>
              <w:bottom w:val="single" w:sz="4" w:space="0" w:color="auto"/>
              <w:right w:val="single" w:sz="4" w:space="0" w:color="auto"/>
            </w:tcBorders>
            <w:shd w:val="clear" w:color="auto" w:fill="auto"/>
            <w:hideMark/>
          </w:tcPr>
          <w:p w14:paraId="470916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B3B61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88C55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BDE1E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Utilization of Distributed Computing:</w:t>
            </w:r>
          </w:p>
        </w:tc>
        <w:tc>
          <w:tcPr>
            <w:tcW w:w="6762" w:type="dxa"/>
            <w:tcBorders>
              <w:top w:val="nil"/>
              <w:left w:val="nil"/>
              <w:bottom w:val="single" w:sz="4" w:space="0" w:color="auto"/>
              <w:right w:val="single" w:sz="4" w:space="0" w:color="auto"/>
            </w:tcBorders>
            <w:shd w:val="clear" w:color="auto" w:fill="auto"/>
            <w:hideMark/>
          </w:tcPr>
          <w:p w14:paraId="0190EBD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FB32C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16258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45D3E4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29EDA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903F4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leverages the power of distributed computing to harness the collective computational resources of individuals and organizations worldwide. By utilizing idle processing power from personal computers, smartphones, and server farms, the project creates a distributed network of computing resources capable of tackling large-scale computational challenges.</w:t>
            </w:r>
          </w:p>
        </w:tc>
        <w:tc>
          <w:tcPr>
            <w:tcW w:w="2566" w:type="dxa"/>
            <w:tcBorders>
              <w:top w:val="nil"/>
              <w:left w:val="nil"/>
              <w:bottom w:val="single" w:sz="4" w:space="0" w:color="auto"/>
              <w:right w:val="single" w:sz="4" w:space="0" w:color="auto"/>
            </w:tcBorders>
            <w:shd w:val="clear" w:color="auto" w:fill="auto"/>
            <w:hideMark/>
          </w:tcPr>
          <w:p w14:paraId="47D79F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E94A5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0AAAE9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D0F4A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04611C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innovative algorithms and protocols, the project optimizes the distribution of computational tasks across the network, ensuring efficient use of resources and maximizing the impact of individual contributions. This distributed computing model enables the project to scale dynamically in response to changing demand and computational requirements, while also fostering a sense of community and shared purpose among participants.</w:t>
            </w:r>
          </w:p>
        </w:tc>
        <w:tc>
          <w:tcPr>
            <w:tcW w:w="2566" w:type="dxa"/>
            <w:tcBorders>
              <w:top w:val="nil"/>
              <w:left w:val="nil"/>
              <w:bottom w:val="single" w:sz="4" w:space="0" w:color="auto"/>
              <w:right w:val="single" w:sz="4" w:space="0" w:color="auto"/>
            </w:tcBorders>
            <w:shd w:val="clear" w:color="auto" w:fill="auto"/>
            <w:hideMark/>
          </w:tcPr>
          <w:p w14:paraId="5B2566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DE00C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4D5BB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8EC8E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Parallel Project Synergy:</w:t>
            </w:r>
          </w:p>
        </w:tc>
        <w:tc>
          <w:tcPr>
            <w:tcW w:w="6762" w:type="dxa"/>
            <w:tcBorders>
              <w:top w:val="nil"/>
              <w:left w:val="nil"/>
              <w:bottom w:val="single" w:sz="4" w:space="0" w:color="auto"/>
              <w:right w:val="single" w:sz="4" w:space="0" w:color="auto"/>
            </w:tcBorders>
            <w:shd w:val="clear" w:color="auto" w:fill="auto"/>
            <w:hideMark/>
          </w:tcPr>
          <w:p w14:paraId="3EBDF7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8D06C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CA0CE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5D17D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D05C4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471BDD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collaborative and interdisciplinary nature of the PrimeBookOne project extends beyond scientific research to encompass parallel projects and initiatives in related fields. By forging synergies with projects such as the Tardigradia Science-Park Game Animation Restaurant Franchise, the project creates opportunities for cross-pollination of ideas, resources, and expertise.</w:t>
            </w:r>
          </w:p>
        </w:tc>
        <w:tc>
          <w:tcPr>
            <w:tcW w:w="2566" w:type="dxa"/>
            <w:tcBorders>
              <w:top w:val="nil"/>
              <w:left w:val="nil"/>
              <w:bottom w:val="single" w:sz="4" w:space="0" w:color="auto"/>
              <w:right w:val="single" w:sz="4" w:space="0" w:color="auto"/>
            </w:tcBorders>
            <w:shd w:val="clear" w:color="auto" w:fill="auto"/>
            <w:hideMark/>
          </w:tcPr>
          <w:p w14:paraId="2A8C4F4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D6287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95D66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27083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734E0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Collaborations with parallel projects enable the PrimeBookOne project to explore new avenues of innovation and creativity, drawing inspiration from diverse perspectives and approaches. This collaborative ecosystem fosters a culture of experimentation and exploration, driving progress forward in unexpected and exciting directions.</w:t>
            </w:r>
          </w:p>
        </w:tc>
        <w:tc>
          <w:tcPr>
            <w:tcW w:w="2566" w:type="dxa"/>
            <w:tcBorders>
              <w:top w:val="nil"/>
              <w:left w:val="nil"/>
              <w:bottom w:val="single" w:sz="4" w:space="0" w:color="auto"/>
              <w:right w:val="single" w:sz="4" w:space="0" w:color="auto"/>
            </w:tcBorders>
            <w:shd w:val="clear" w:color="auto" w:fill="auto"/>
            <w:hideMark/>
          </w:tcPr>
          <w:p w14:paraId="2D85E6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52EBA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6DBC8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9F449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Conclusion: </w:t>
            </w:r>
          </w:p>
        </w:tc>
        <w:tc>
          <w:tcPr>
            <w:tcW w:w="6762" w:type="dxa"/>
            <w:tcBorders>
              <w:top w:val="nil"/>
              <w:left w:val="nil"/>
              <w:bottom w:val="single" w:sz="4" w:space="0" w:color="auto"/>
              <w:right w:val="single" w:sz="4" w:space="0" w:color="auto"/>
            </w:tcBorders>
            <w:shd w:val="clear" w:color="auto" w:fill="auto"/>
            <w:hideMark/>
          </w:tcPr>
          <w:p w14:paraId="7116B41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F0887E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DF5FA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92769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F7882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2DF54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 summary, the collaborative and interdisciplinary approach of the PrimeBookOne project exemplifies the power of collective effort and shared purpose in tackling complex scientific challenges and driving innovation forward. By bringing together stakeholders from diverse sectors and fostering inclusive participation, the project creates opportunities for collaboration, creativity, and discovery on a global scale.</w:t>
            </w:r>
          </w:p>
        </w:tc>
        <w:tc>
          <w:tcPr>
            <w:tcW w:w="2566" w:type="dxa"/>
            <w:tcBorders>
              <w:top w:val="nil"/>
              <w:left w:val="nil"/>
              <w:bottom w:val="single" w:sz="4" w:space="0" w:color="auto"/>
              <w:right w:val="single" w:sz="4" w:space="0" w:color="auto"/>
            </w:tcBorders>
            <w:shd w:val="clear" w:color="auto" w:fill="auto"/>
            <w:hideMark/>
          </w:tcPr>
          <w:p w14:paraId="2426E9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97D301"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2B6445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40C871A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6. Alignment with Funders' Values and Interests: </w:t>
            </w:r>
          </w:p>
        </w:tc>
        <w:tc>
          <w:tcPr>
            <w:tcW w:w="6762" w:type="dxa"/>
            <w:tcBorders>
              <w:top w:val="nil"/>
              <w:left w:val="nil"/>
              <w:bottom w:val="single" w:sz="4" w:space="0" w:color="auto"/>
              <w:right w:val="single" w:sz="4" w:space="0" w:color="auto"/>
            </w:tcBorders>
            <w:shd w:val="clear" w:color="auto" w:fill="auto"/>
            <w:hideMark/>
          </w:tcPr>
          <w:p w14:paraId="64BD656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Demonstrate how the project aligns with the values and interests of potential funders, such as a commitment to advancing scientific knowledge, promoting STEM education and literacy, or addressing pressing societal challenges. Tailor the messaging to resonate with the specific priorities and motivations of different funding sources.</w:t>
            </w:r>
          </w:p>
        </w:tc>
        <w:tc>
          <w:tcPr>
            <w:tcW w:w="2566" w:type="dxa"/>
            <w:tcBorders>
              <w:top w:val="nil"/>
              <w:left w:val="nil"/>
              <w:bottom w:val="single" w:sz="4" w:space="0" w:color="auto"/>
              <w:right w:val="single" w:sz="4" w:space="0" w:color="auto"/>
            </w:tcBorders>
            <w:shd w:val="clear" w:color="auto" w:fill="auto"/>
            <w:hideMark/>
          </w:tcPr>
          <w:p w14:paraId="50E796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People want their computer to have a purpose in reality.  Many people are just internet surfers, very well read, yet the super-computer they are accessing to use as a television screen sits idle waiting for your great command.  When the mathmatics machine that the computer and gpu is can be put to such great use to find primes while at the same time can be used to unwrap files compressed with primebooktools. Helping to invest into Tardigradia Science-Parks for myriads of science exploration including mathematics all made fun with the Tardigrades and their Friends of the land 'o' lil. To invest in education and business institutions with land 'o' lil restaurant franchise placement agreements for discounted PrimeBookTools use.  Initial funders have the ability to join the prime committee of programmers designers and creators of primebookone.  While initial funding is split programmers between the PrimeBookOne App and the PrimeBookTools App.</w:t>
            </w:r>
          </w:p>
        </w:tc>
      </w:tr>
      <w:tr w:rsidR="0041317E" w:rsidRPr="0041317E" w14:paraId="1FB94BC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E86B3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A3923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2D78A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Demonstrate how the project aligns with the values and interests of potential funders, such as a commitment to advancing scientific knowledge, promoting STEM education and literacy, or addressing pressing societal challenges. Tailor the messaging to resonate with the specific priorities and motivations of different funding sources.</w:t>
            </w:r>
          </w:p>
        </w:tc>
        <w:tc>
          <w:tcPr>
            <w:tcW w:w="2566" w:type="dxa"/>
            <w:tcBorders>
              <w:top w:val="nil"/>
              <w:left w:val="nil"/>
              <w:bottom w:val="single" w:sz="4" w:space="0" w:color="auto"/>
              <w:right w:val="single" w:sz="4" w:space="0" w:color="auto"/>
            </w:tcBorders>
            <w:shd w:val="clear" w:color="auto" w:fill="auto"/>
            <w:hideMark/>
          </w:tcPr>
          <w:p w14:paraId="417AD1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3803B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29CE3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D0163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Advancing Scientific Knowledge:</w:t>
            </w:r>
          </w:p>
        </w:tc>
        <w:tc>
          <w:tcPr>
            <w:tcW w:w="6762" w:type="dxa"/>
            <w:tcBorders>
              <w:top w:val="nil"/>
              <w:left w:val="nil"/>
              <w:bottom w:val="single" w:sz="4" w:space="0" w:color="auto"/>
              <w:right w:val="single" w:sz="4" w:space="0" w:color="auto"/>
            </w:tcBorders>
            <w:shd w:val="clear" w:color="auto" w:fill="auto"/>
            <w:hideMark/>
          </w:tcPr>
          <w:p w14:paraId="04F113B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F8E6EA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D09BF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DF25C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E35F0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C0E66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aligns closely with the values of funders who are committed to advancing scientific knowledge and innovation. By leveraging the collective computational power of distributed networks, the project contributes to the exploration and understanding of prime number theory, a fundamental area of mathematical research with wide-ranging implications across various scientific disciplines.</w:t>
            </w:r>
          </w:p>
        </w:tc>
        <w:tc>
          <w:tcPr>
            <w:tcW w:w="2566" w:type="dxa"/>
            <w:tcBorders>
              <w:top w:val="nil"/>
              <w:left w:val="nil"/>
              <w:bottom w:val="single" w:sz="4" w:space="0" w:color="auto"/>
              <w:right w:val="single" w:sz="4" w:space="0" w:color="auto"/>
            </w:tcBorders>
            <w:shd w:val="clear" w:color="auto" w:fill="auto"/>
            <w:hideMark/>
          </w:tcPr>
          <w:p w14:paraId="095408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50129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8FB38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A334B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29A44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prioritize scientific discovery and exploration may be drawn to the project's potential to uncover new insights and breakthroughs in prime number theory, pushing the boundaries of human knowledge and understanding. By supporting the project, funders can play a direct role in advancing scientific inquiry and discovery on a global scale.</w:t>
            </w:r>
          </w:p>
        </w:tc>
        <w:tc>
          <w:tcPr>
            <w:tcW w:w="2566" w:type="dxa"/>
            <w:tcBorders>
              <w:top w:val="nil"/>
              <w:left w:val="nil"/>
              <w:bottom w:val="single" w:sz="4" w:space="0" w:color="auto"/>
              <w:right w:val="single" w:sz="4" w:space="0" w:color="auto"/>
            </w:tcBorders>
            <w:shd w:val="clear" w:color="auto" w:fill="auto"/>
            <w:hideMark/>
          </w:tcPr>
          <w:p w14:paraId="608FE4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13050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9E6783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9F6AE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Promoting STEM Education and Literacy:</w:t>
            </w:r>
          </w:p>
        </w:tc>
        <w:tc>
          <w:tcPr>
            <w:tcW w:w="6762" w:type="dxa"/>
            <w:tcBorders>
              <w:top w:val="nil"/>
              <w:left w:val="nil"/>
              <w:bottom w:val="single" w:sz="4" w:space="0" w:color="auto"/>
              <w:right w:val="single" w:sz="4" w:space="0" w:color="auto"/>
            </w:tcBorders>
            <w:shd w:val="clear" w:color="auto" w:fill="auto"/>
            <w:hideMark/>
          </w:tcPr>
          <w:p w14:paraId="33D57A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FB77B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4FF4C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DB407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918BC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AD156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also resonates with funders who are passionate about promoting STEM (Science, Technology, Engineering, and Mathematics) education and literacy. Through its educational outreach initiatives and open-access resources, the project provides valuable opportunities for students, educators, and enthusiasts to engage with cutting-edge research and computational techniques in mathematics and computer science.</w:t>
            </w:r>
          </w:p>
        </w:tc>
        <w:tc>
          <w:tcPr>
            <w:tcW w:w="2566" w:type="dxa"/>
            <w:tcBorders>
              <w:top w:val="nil"/>
              <w:left w:val="nil"/>
              <w:bottom w:val="single" w:sz="4" w:space="0" w:color="auto"/>
              <w:right w:val="single" w:sz="4" w:space="0" w:color="auto"/>
            </w:tcBorders>
            <w:shd w:val="clear" w:color="auto" w:fill="auto"/>
            <w:hideMark/>
          </w:tcPr>
          <w:p w14:paraId="3B1C149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87FC7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96D2D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6B50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BF06C3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supporting the project, funders can help inspire the next generation of scientists, mathematicians, and technologists, fostering a culture of curiosity, creativity, and innovation among future leaders in STEM fields. The project's emphasis on hands-on learning and real-world applications provides a unique and exciting opportunity to ignite a passion for STEM education and exploration.</w:t>
            </w:r>
          </w:p>
        </w:tc>
        <w:tc>
          <w:tcPr>
            <w:tcW w:w="2566" w:type="dxa"/>
            <w:tcBorders>
              <w:top w:val="nil"/>
              <w:left w:val="nil"/>
              <w:bottom w:val="single" w:sz="4" w:space="0" w:color="auto"/>
              <w:right w:val="single" w:sz="4" w:space="0" w:color="auto"/>
            </w:tcBorders>
            <w:shd w:val="clear" w:color="auto" w:fill="auto"/>
            <w:hideMark/>
          </w:tcPr>
          <w:p w14:paraId="0173B8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C8AA2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EEDE0B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D380B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Addressing Societal Challenges:</w:t>
            </w:r>
          </w:p>
        </w:tc>
        <w:tc>
          <w:tcPr>
            <w:tcW w:w="6762" w:type="dxa"/>
            <w:tcBorders>
              <w:top w:val="nil"/>
              <w:left w:val="nil"/>
              <w:bottom w:val="single" w:sz="4" w:space="0" w:color="auto"/>
              <w:right w:val="single" w:sz="4" w:space="0" w:color="auto"/>
            </w:tcBorders>
            <w:shd w:val="clear" w:color="auto" w:fill="auto"/>
            <w:hideMark/>
          </w:tcPr>
          <w:p w14:paraId="2AFE907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2F96C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088AF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E33D8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F8666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7D383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addition to its contributions to scientific knowledge and education, the PrimeBookOne project addresses pressing societal challenges, such as the need for sustainable and efficient use of computational resources. By harnessing idle processing power from personal computers and smartphones, the project minimizes energy consumption and environmental impact while maximizing computational efficiency.</w:t>
            </w:r>
          </w:p>
        </w:tc>
        <w:tc>
          <w:tcPr>
            <w:tcW w:w="2566" w:type="dxa"/>
            <w:tcBorders>
              <w:top w:val="nil"/>
              <w:left w:val="nil"/>
              <w:bottom w:val="single" w:sz="4" w:space="0" w:color="auto"/>
              <w:right w:val="single" w:sz="4" w:space="0" w:color="auto"/>
            </w:tcBorders>
            <w:shd w:val="clear" w:color="auto" w:fill="auto"/>
            <w:hideMark/>
          </w:tcPr>
          <w:p w14:paraId="1FE346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AB17F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BC7CB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E7CEF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FBC1A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Funders who are committed to sustainability and environmental stewardship may be attracted to the project's innovative approach to distributed computing, which offers a more sustainable alternative to traditional data centers and supercomputers. By supporting the project, funders can contribute to efforts to reduce carbon emissions and mitigate the environmental footprint of computational research and innovation.</w:t>
            </w:r>
          </w:p>
        </w:tc>
        <w:tc>
          <w:tcPr>
            <w:tcW w:w="2566" w:type="dxa"/>
            <w:tcBorders>
              <w:top w:val="nil"/>
              <w:left w:val="nil"/>
              <w:bottom w:val="single" w:sz="4" w:space="0" w:color="auto"/>
              <w:right w:val="single" w:sz="4" w:space="0" w:color="auto"/>
            </w:tcBorders>
            <w:shd w:val="clear" w:color="auto" w:fill="auto"/>
            <w:hideMark/>
          </w:tcPr>
          <w:p w14:paraId="7A4121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23CB4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1C2B3A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72B02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Tailored Messaging and Engagement:</w:t>
            </w:r>
          </w:p>
        </w:tc>
        <w:tc>
          <w:tcPr>
            <w:tcW w:w="6762" w:type="dxa"/>
            <w:tcBorders>
              <w:top w:val="nil"/>
              <w:left w:val="nil"/>
              <w:bottom w:val="single" w:sz="4" w:space="0" w:color="auto"/>
              <w:right w:val="single" w:sz="4" w:space="0" w:color="auto"/>
            </w:tcBorders>
            <w:shd w:val="clear" w:color="auto" w:fill="auto"/>
            <w:hideMark/>
          </w:tcPr>
          <w:p w14:paraId="0BDBF77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B19E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AAB09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D3AE8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E89C8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1C891C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To effectively engage potential funders, the project's messaging should be tailored to resonate with their specific values, interests, and motivations. For funders who prioritize scientific discovery, the messaging can emphasize the project's potential to advance knowledge and unlock new insights in prime number theory.</w:t>
            </w:r>
          </w:p>
        </w:tc>
        <w:tc>
          <w:tcPr>
            <w:tcW w:w="2566" w:type="dxa"/>
            <w:tcBorders>
              <w:top w:val="nil"/>
              <w:left w:val="nil"/>
              <w:bottom w:val="single" w:sz="4" w:space="0" w:color="auto"/>
              <w:right w:val="single" w:sz="4" w:space="0" w:color="auto"/>
            </w:tcBorders>
            <w:shd w:val="clear" w:color="auto" w:fill="auto"/>
            <w:hideMark/>
          </w:tcPr>
          <w:p w14:paraId="168E1A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C5E44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3454B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7AB5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29651A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For those passionate about STEM education, the messaging can highlight the project's educational outreach initiatives and its role in inspiring the next generation of STEM leaders. Similarly, funders concerned with sustainability and environmental issues may be drawn to the project's eco-friendly approach to distributed computing and its potential to reduce energy consumption and carbon emissions.</w:t>
            </w:r>
          </w:p>
        </w:tc>
        <w:tc>
          <w:tcPr>
            <w:tcW w:w="2566" w:type="dxa"/>
            <w:tcBorders>
              <w:top w:val="nil"/>
              <w:left w:val="nil"/>
              <w:bottom w:val="single" w:sz="4" w:space="0" w:color="auto"/>
              <w:right w:val="single" w:sz="4" w:space="0" w:color="auto"/>
            </w:tcBorders>
            <w:shd w:val="clear" w:color="auto" w:fill="auto"/>
            <w:hideMark/>
          </w:tcPr>
          <w:p w14:paraId="1BC8648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F4C95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FD3C2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E402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39B5D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aligning the project's value proposition with the values and interests of potential funders, the campaign can effectively communicate its impact and relevance, ultimately increasing the likelihood of successful engagement and support.</w:t>
            </w:r>
          </w:p>
        </w:tc>
        <w:tc>
          <w:tcPr>
            <w:tcW w:w="2566" w:type="dxa"/>
            <w:tcBorders>
              <w:top w:val="nil"/>
              <w:left w:val="nil"/>
              <w:bottom w:val="single" w:sz="4" w:space="0" w:color="auto"/>
              <w:right w:val="single" w:sz="4" w:space="0" w:color="auto"/>
            </w:tcBorders>
            <w:shd w:val="clear" w:color="auto" w:fill="auto"/>
            <w:hideMark/>
          </w:tcPr>
          <w:p w14:paraId="4001DF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133C5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3DCFC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BF4D3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 essence</w:t>
            </w:r>
          </w:p>
        </w:tc>
        <w:tc>
          <w:tcPr>
            <w:tcW w:w="6762" w:type="dxa"/>
            <w:tcBorders>
              <w:top w:val="nil"/>
              <w:left w:val="nil"/>
              <w:bottom w:val="single" w:sz="4" w:space="0" w:color="auto"/>
              <w:right w:val="single" w:sz="4" w:space="0" w:color="auto"/>
            </w:tcBorders>
            <w:shd w:val="clear" w:color="auto" w:fill="auto"/>
            <w:hideMark/>
          </w:tcPr>
          <w:p w14:paraId="190197B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26EB0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AF37C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1FDC2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0B13C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70311C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PrimeBookOne project offers a compelling value proposition that aligns with the values and interests of a diverse range of potential funders, from those committed to scientific discovery and education to those concerned with sustainability and environmental stewardship.</w:t>
            </w:r>
          </w:p>
        </w:tc>
        <w:tc>
          <w:tcPr>
            <w:tcW w:w="2566" w:type="dxa"/>
            <w:tcBorders>
              <w:top w:val="nil"/>
              <w:left w:val="nil"/>
              <w:bottom w:val="single" w:sz="4" w:space="0" w:color="auto"/>
              <w:right w:val="single" w:sz="4" w:space="0" w:color="auto"/>
            </w:tcBorders>
            <w:shd w:val="clear" w:color="auto" w:fill="auto"/>
            <w:hideMark/>
          </w:tcPr>
          <w:p w14:paraId="3BCD36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094D5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EFC21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AEE1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4FCD3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2458B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D18261"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3CE7E30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26FCA19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Transparency and Accountability: </w:t>
            </w:r>
          </w:p>
        </w:tc>
        <w:tc>
          <w:tcPr>
            <w:tcW w:w="6762" w:type="dxa"/>
            <w:tcBorders>
              <w:top w:val="nil"/>
              <w:left w:val="nil"/>
              <w:bottom w:val="single" w:sz="4" w:space="0" w:color="auto"/>
              <w:right w:val="single" w:sz="4" w:space="0" w:color="auto"/>
            </w:tcBorders>
            <w:shd w:val="clear" w:color="auto" w:fill="auto"/>
            <w:hideMark/>
          </w:tcPr>
          <w:p w14:paraId="44D0CE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Assure potential funders of the project's commitment to transparency, accountability, and responsible stewardship of resources. Highlight any measures in place to ensure effective project management, rigorous research practices, and clear communication with stakeholders throughout the funding and implementation process.</w:t>
            </w:r>
          </w:p>
        </w:tc>
        <w:tc>
          <w:tcPr>
            <w:tcW w:w="2566" w:type="dxa"/>
            <w:tcBorders>
              <w:top w:val="nil"/>
              <w:left w:val="nil"/>
              <w:bottom w:val="single" w:sz="4" w:space="0" w:color="auto"/>
              <w:right w:val="single" w:sz="4" w:space="0" w:color="auto"/>
            </w:tcBorders>
            <w:shd w:val="clear" w:color="auto" w:fill="auto"/>
            <w:hideMark/>
          </w:tcPr>
          <w:p w14:paraId="1989A6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Building a committee that will hold charge within all PrimeBookOne needs as a business and ever growing science endeavor.  With needs measured and divested and accomplished with committee created sub-groups.  With so many different aspects to accomplish, each task and need can be budgeted and initiated by the committee.  With many different angles to tie down, finding a way to create Self-Investment and Investment in ScienceParks Restaurant Franchises Branded Tardigradia.  The committee will work togeather from different industries and ideas.  As to become a possible committee member, one must have been working as a sub-group member.  With incentive to help run smoothly PrimeBookOne well into the next century.  While Antikytherian PrimeBookTools will also hold longevity as patented copywritten methods to utilize the PrimeBook.  Being a marketable product to Educational Business and Extreme-User, while free for the single user multi-device enthusiast.</w:t>
            </w:r>
          </w:p>
        </w:tc>
      </w:tr>
      <w:tr w:rsidR="0041317E" w:rsidRPr="0041317E" w14:paraId="11DDADB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083B7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106D3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39C3C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Assure potential funders of the project's commitment to transparency, accountability, and responsible stewardship of resources. Highlight any measures in place to ensure effective project management, rigorous research practices, and clear communication with stakeholders throughout the funding and implementation process.</w:t>
            </w:r>
          </w:p>
        </w:tc>
        <w:tc>
          <w:tcPr>
            <w:tcW w:w="2566" w:type="dxa"/>
            <w:tcBorders>
              <w:top w:val="nil"/>
              <w:left w:val="nil"/>
              <w:bottom w:val="single" w:sz="4" w:space="0" w:color="auto"/>
              <w:right w:val="single" w:sz="4" w:space="0" w:color="auto"/>
            </w:tcBorders>
            <w:shd w:val="clear" w:color="auto" w:fill="auto"/>
            <w:hideMark/>
          </w:tcPr>
          <w:p w14:paraId="5817532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BC2B1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05D7E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BD54A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Committee Structure and Governance:</w:t>
            </w:r>
          </w:p>
        </w:tc>
        <w:tc>
          <w:tcPr>
            <w:tcW w:w="6762" w:type="dxa"/>
            <w:tcBorders>
              <w:top w:val="nil"/>
              <w:left w:val="nil"/>
              <w:bottom w:val="single" w:sz="4" w:space="0" w:color="auto"/>
              <w:right w:val="single" w:sz="4" w:space="0" w:color="auto"/>
            </w:tcBorders>
            <w:shd w:val="clear" w:color="auto" w:fill="auto"/>
            <w:hideMark/>
          </w:tcPr>
          <w:p w14:paraId="0364F37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2DC12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6F5AC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0CE6B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F251F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3E9E6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emphasizes transparency and accountability through the establishment of a robust committee structure tasked with overseeing all aspects of PrimeBookOne's development, management, and operations. This committee comprises representatives from diverse backgrounds, including mathematics, computer science, education, business, and technology.</w:t>
            </w:r>
          </w:p>
        </w:tc>
        <w:tc>
          <w:tcPr>
            <w:tcW w:w="2566" w:type="dxa"/>
            <w:tcBorders>
              <w:top w:val="nil"/>
              <w:left w:val="nil"/>
              <w:bottom w:val="single" w:sz="4" w:space="0" w:color="auto"/>
              <w:right w:val="single" w:sz="4" w:space="0" w:color="auto"/>
            </w:tcBorders>
            <w:shd w:val="clear" w:color="auto" w:fill="auto"/>
            <w:hideMark/>
          </w:tcPr>
          <w:p w14:paraId="7D4EFD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3D4A1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CF9DC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9E6E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114743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Each committee member brings unique expertise and perspectives to the table, ensuring comprehensive oversight and informed decision-making. The committee operates democratically, with decisions made through consensus-building and collaborative dialogue among members.</w:t>
            </w:r>
          </w:p>
        </w:tc>
        <w:tc>
          <w:tcPr>
            <w:tcW w:w="2566" w:type="dxa"/>
            <w:tcBorders>
              <w:top w:val="nil"/>
              <w:left w:val="nil"/>
              <w:bottom w:val="single" w:sz="4" w:space="0" w:color="auto"/>
              <w:right w:val="single" w:sz="4" w:space="0" w:color="auto"/>
            </w:tcBorders>
            <w:shd w:val="clear" w:color="auto" w:fill="auto"/>
            <w:hideMark/>
          </w:tcPr>
          <w:p w14:paraId="58BB446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DD7DAD"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150203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EF7E0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C2629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involving stakeholders from various industries and disciplines, the project promotes transparency and inclusivity, fostering a sense of ownership and shared responsibility among all involved parties. This collaborative approach enhances accountability and ensures that the project's goals and objectives align with the interests and priorities of its stakeholders.</w:t>
            </w:r>
          </w:p>
        </w:tc>
        <w:tc>
          <w:tcPr>
            <w:tcW w:w="2566" w:type="dxa"/>
            <w:tcBorders>
              <w:top w:val="nil"/>
              <w:left w:val="nil"/>
              <w:bottom w:val="single" w:sz="4" w:space="0" w:color="auto"/>
              <w:right w:val="single" w:sz="4" w:space="0" w:color="auto"/>
            </w:tcBorders>
            <w:shd w:val="clear" w:color="auto" w:fill="auto"/>
            <w:hideMark/>
          </w:tcPr>
          <w:p w14:paraId="034CA8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A2B78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22B24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308E5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Project Management and Resource Allocation:</w:t>
            </w:r>
          </w:p>
        </w:tc>
        <w:tc>
          <w:tcPr>
            <w:tcW w:w="6762" w:type="dxa"/>
            <w:tcBorders>
              <w:top w:val="nil"/>
              <w:left w:val="nil"/>
              <w:bottom w:val="single" w:sz="4" w:space="0" w:color="auto"/>
              <w:right w:val="single" w:sz="4" w:space="0" w:color="auto"/>
            </w:tcBorders>
            <w:shd w:val="clear" w:color="auto" w:fill="auto"/>
            <w:hideMark/>
          </w:tcPr>
          <w:p w14:paraId="7DD26C3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C8E50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4C52C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F66981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E5AE7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627AE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committee is responsible for effective project management, including the allocation of resources and oversight of research activities. Rigorous project management practices, such as milestone tracking, budget monitoring, and risk assessment, are employed to ensure efficient use of resources and timely progress toward project objectives.</w:t>
            </w:r>
          </w:p>
        </w:tc>
        <w:tc>
          <w:tcPr>
            <w:tcW w:w="2566" w:type="dxa"/>
            <w:tcBorders>
              <w:top w:val="nil"/>
              <w:left w:val="nil"/>
              <w:bottom w:val="single" w:sz="4" w:space="0" w:color="auto"/>
              <w:right w:val="single" w:sz="4" w:space="0" w:color="auto"/>
            </w:tcBorders>
            <w:shd w:val="clear" w:color="auto" w:fill="auto"/>
            <w:hideMark/>
          </w:tcPr>
          <w:p w14:paraId="30118C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89211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70F89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1280D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E4E72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Transparent reporting mechanisms are implemented to provide stakeholders with regular updates on project status, achievements, and challenges. This includes periodic progress reports, financial statements, and open communication channels for stakeholders to raise questions or concerns.</w:t>
            </w:r>
          </w:p>
        </w:tc>
        <w:tc>
          <w:tcPr>
            <w:tcW w:w="2566" w:type="dxa"/>
            <w:tcBorders>
              <w:top w:val="nil"/>
              <w:left w:val="nil"/>
              <w:bottom w:val="single" w:sz="4" w:space="0" w:color="auto"/>
              <w:right w:val="single" w:sz="4" w:space="0" w:color="auto"/>
            </w:tcBorders>
            <w:shd w:val="clear" w:color="auto" w:fill="auto"/>
            <w:hideMark/>
          </w:tcPr>
          <w:p w14:paraId="1285C9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45486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4C627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DB89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302A4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Accountability measures are in place to hold project leaders and team members accountable for their actions and decisions. Clear roles and responsibilities are defined, and performance metrics are established to evaluate individual and collective contributions to project success.</w:t>
            </w:r>
          </w:p>
        </w:tc>
        <w:tc>
          <w:tcPr>
            <w:tcW w:w="2566" w:type="dxa"/>
            <w:tcBorders>
              <w:top w:val="nil"/>
              <w:left w:val="nil"/>
              <w:bottom w:val="single" w:sz="4" w:space="0" w:color="auto"/>
              <w:right w:val="single" w:sz="4" w:space="0" w:color="auto"/>
            </w:tcBorders>
            <w:shd w:val="clear" w:color="auto" w:fill="auto"/>
            <w:hideMark/>
          </w:tcPr>
          <w:p w14:paraId="1FD248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E06A6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9F66A4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57489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Ethical Considerations and Responsible Research Practices:</w:t>
            </w:r>
          </w:p>
        </w:tc>
        <w:tc>
          <w:tcPr>
            <w:tcW w:w="6762" w:type="dxa"/>
            <w:tcBorders>
              <w:top w:val="nil"/>
              <w:left w:val="nil"/>
              <w:bottom w:val="single" w:sz="4" w:space="0" w:color="auto"/>
              <w:right w:val="single" w:sz="4" w:space="0" w:color="auto"/>
            </w:tcBorders>
            <w:shd w:val="clear" w:color="auto" w:fill="auto"/>
            <w:hideMark/>
          </w:tcPr>
          <w:p w14:paraId="5888577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1905A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45914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15EED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CA250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FC21E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upholds the highest ethical standards and adheres to responsible research practices in all aspects of its work. This includes obtaining necessary approvals and permissions for research activities involving human subjects or sensitive data, as well as ensuring data privacy and confidentiality.</w:t>
            </w:r>
          </w:p>
        </w:tc>
        <w:tc>
          <w:tcPr>
            <w:tcW w:w="2566" w:type="dxa"/>
            <w:tcBorders>
              <w:top w:val="nil"/>
              <w:left w:val="nil"/>
              <w:bottom w:val="single" w:sz="4" w:space="0" w:color="auto"/>
              <w:right w:val="single" w:sz="4" w:space="0" w:color="auto"/>
            </w:tcBorders>
            <w:shd w:val="clear" w:color="auto" w:fill="auto"/>
            <w:hideMark/>
          </w:tcPr>
          <w:p w14:paraId="1DADDE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EAAFE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1E36B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A38A6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9013F4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Transparency extends to the project's approach to data collection, analysis, and dissemination. Research findings are shared openly and accurately, with proper attribution to all contributors. Any potential conflicts of interest are disclosed, and measures are taken to mitigate biases and ensure the integrity and credibility of research outcomes.</w:t>
            </w:r>
          </w:p>
        </w:tc>
        <w:tc>
          <w:tcPr>
            <w:tcW w:w="2566" w:type="dxa"/>
            <w:tcBorders>
              <w:top w:val="nil"/>
              <w:left w:val="nil"/>
              <w:bottom w:val="single" w:sz="4" w:space="0" w:color="auto"/>
              <w:right w:val="single" w:sz="4" w:space="0" w:color="auto"/>
            </w:tcBorders>
            <w:shd w:val="clear" w:color="auto" w:fill="auto"/>
            <w:hideMark/>
          </w:tcPr>
          <w:p w14:paraId="2FE540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35D5F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E69FC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1697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D14F0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Stakeholder engagement and community outreach efforts are conducted ethically and transparently, with respect for diverse perspectives and input. The project strives to foster an inclusive and collaborative research environment where all voices are heard and valued.</w:t>
            </w:r>
          </w:p>
        </w:tc>
        <w:tc>
          <w:tcPr>
            <w:tcW w:w="2566" w:type="dxa"/>
            <w:tcBorders>
              <w:top w:val="nil"/>
              <w:left w:val="nil"/>
              <w:bottom w:val="single" w:sz="4" w:space="0" w:color="auto"/>
              <w:right w:val="single" w:sz="4" w:space="0" w:color="auto"/>
            </w:tcBorders>
            <w:shd w:val="clear" w:color="auto" w:fill="auto"/>
            <w:hideMark/>
          </w:tcPr>
          <w:p w14:paraId="6CD1870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99947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55DFD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D9E8B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Continuous Improvement and Feedback Mechanisms:</w:t>
            </w:r>
          </w:p>
        </w:tc>
        <w:tc>
          <w:tcPr>
            <w:tcW w:w="6762" w:type="dxa"/>
            <w:tcBorders>
              <w:top w:val="nil"/>
              <w:left w:val="nil"/>
              <w:bottom w:val="single" w:sz="4" w:space="0" w:color="auto"/>
              <w:right w:val="single" w:sz="4" w:space="0" w:color="auto"/>
            </w:tcBorders>
            <w:shd w:val="clear" w:color="auto" w:fill="auto"/>
            <w:hideMark/>
          </w:tcPr>
          <w:p w14:paraId="6FC142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1534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52641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AE284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12928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68C066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is committed to continuous improvement and learning, with feedback mechanisms in place to solicit input from stakeholders and adapt strategies accordingly. Regular stakeholder meetings, surveys, and feedback forms are used to gather input on project progress, challenges, and areas for improvement.</w:t>
            </w:r>
          </w:p>
        </w:tc>
        <w:tc>
          <w:tcPr>
            <w:tcW w:w="2566" w:type="dxa"/>
            <w:tcBorders>
              <w:top w:val="nil"/>
              <w:left w:val="nil"/>
              <w:bottom w:val="single" w:sz="4" w:space="0" w:color="auto"/>
              <w:right w:val="single" w:sz="4" w:space="0" w:color="auto"/>
            </w:tcBorders>
            <w:shd w:val="clear" w:color="auto" w:fill="auto"/>
            <w:hideMark/>
          </w:tcPr>
          <w:p w14:paraId="34DDA0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F0921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4D5F3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F3598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BF0DD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Transparency in decision-making processes allows stakeholders to understand the rationale behind key decisions and provide constructive feedback for refinement. This iterative approach to project management promotes transparency, accountability, and continuous improvement over time.</w:t>
            </w:r>
          </w:p>
        </w:tc>
        <w:tc>
          <w:tcPr>
            <w:tcW w:w="2566" w:type="dxa"/>
            <w:tcBorders>
              <w:top w:val="nil"/>
              <w:left w:val="nil"/>
              <w:bottom w:val="single" w:sz="4" w:space="0" w:color="auto"/>
              <w:right w:val="single" w:sz="4" w:space="0" w:color="auto"/>
            </w:tcBorders>
            <w:shd w:val="clear" w:color="auto" w:fill="auto"/>
            <w:hideMark/>
          </w:tcPr>
          <w:p w14:paraId="448239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7BF89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22158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53699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In essence</w:t>
            </w:r>
          </w:p>
        </w:tc>
        <w:tc>
          <w:tcPr>
            <w:tcW w:w="6762" w:type="dxa"/>
            <w:tcBorders>
              <w:top w:val="nil"/>
              <w:left w:val="nil"/>
              <w:bottom w:val="single" w:sz="4" w:space="0" w:color="auto"/>
              <w:right w:val="single" w:sz="4" w:space="0" w:color="auto"/>
            </w:tcBorders>
            <w:shd w:val="clear" w:color="auto" w:fill="auto"/>
            <w:hideMark/>
          </w:tcPr>
          <w:p w14:paraId="0F05CA9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C3A31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41DB0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1FC69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678F7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F7A4C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PrimeBookOne project prioritizes transparency, accountability, and responsible stewardship of resources at every stage of its development and implementation. Through a robust committee structure, rigorous project management practices, and ethical research standards, the project aims to build trust and confidence among stakeholders and ensure the effective and responsible advancement of prime number theory and its applications.</w:t>
            </w:r>
          </w:p>
        </w:tc>
        <w:tc>
          <w:tcPr>
            <w:tcW w:w="2566" w:type="dxa"/>
            <w:tcBorders>
              <w:top w:val="nil"/>
              <w:left w:val="nil"/>
              <w:bottom w:val="single" w:sz="4" w:space="0" w:color="auto"/>
              <w:right w:val="single" w:sz="4" w:space="0" w:color="auto"/>
            </w:tcBorders>
            <w:shd w:val="clear" w:color="auto" w:fill="auto"/>
            <w:hideMark/>
          </w:tcPr>
          <w:p w14:paraId="7D78D9A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94328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97C07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28C0A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7331C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48EC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61414B"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3A63E2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24F61B6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8. Long-Term Vision and Sustainability: </w:t>
            </w:r>
          </w:p>
        </w:tc>
        <w:tc>
          <w:tcPr>
            <w:tcW w:w="6762" w:type="dxa"/>
            <w:tcBorders>
              <w:top w:val="nil"/>
              <w:left w:val="nil"/>
              <w:bottom w:val="single" w:sz="4" w:space="0" w:color="auto"/>
              <w:right w:val="single" w:sz="4" w:space="0" w:color="auto"/>
            </w:tcBorders>
            <w:shd w:val="clear" w:color="auto" w:fill="auto"/>
            <w:hideMark/>
          </w:tcPr>
          <w:p w14:paraId="1086076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Articulate the project's long-term vision and sustainability plan, emphasizing how the insights gained and resources developed will continue to have lasting impact beyond the initial funding period. Highlight any plans for ongoing research, collaboration, or dissemination of results that will ensure the project's legacy and value over time.</w:t>
            </w:r>
          </w:p>
        </w:tc>
        <w:tc>
          <w:tcPr>
            <w:tcW w:w="2566" w:type="dxa"/>
            <w:tcBorders>
              <w:top w:val="nil"/>
              <w:left w:val="nil"/>
              <w:bottom w:val="single" w:sz="4" w:space="0" w:color="auto"/>
              <w:right w:val="single" w:sz="4" w:space="0" w:color="auto"/>
            </w:tcBorders>
            <w:shd w:val="clear" w:color="auto" w:fill="auto"/>
            <w:hideMark/>
          </w:tcPr>
          <w:p w14:paraId="00D6AA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xml:space="preserve">PrimeBookOne sources of income based on SOC &amp; OS licenscure implementation and Committee based fund raising ventures. Antikytherian PrimeBookTools sources of income in licenscure of algorithems into software, operating system incorporation, SOC system on chip implementation. Research in multiple markets whose software and devices can benefit from prime calculation enhancement. PrimeBookOne is a Committee based directed programming group that is ultimately democratically elected by the PrimeBookOne User Base. Antikytherian PrimeBookTools is a private company that develops software and tools for PrimeBookOne.  Excess income garnered by PrimeBookOne is to distributed to Tardigradia Science-Park Restaurant Franchise Project. Excess income garnered by Antikytherian PrimeBookTools is to be distributed as Antikytherian sees fit.  Two seperate projects that are intertwined that require each other and allow the open-community to also take a gander at making their own toolkits.  </w:t>
            </w:r>
          </w:p>
        </w:tc>
      </w:tr>
      <w:tr w:rsidR="0041317E" w:rsidRPr="0041317E" w14:paraId="49417C2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C12C7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736C0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203E05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Articulate the project's long-term vision and sustainability plan, emphasizing how the insights gained and resources developed will continue to have a lasting impact beyond the initial funding period. Highlight any plans for ongoing research, collaboration, or dissemination of results that will ensure the project's legacy and value over time.</w:t>
            </w:r>
          </w:p>
        </w:tc>
        <w:tc>
          <w:tcPr>
            <w:tcW w:w="2566" w:type="dxa"/>
            <w:tcBorders>
              <w:top w:val="nil"/>
              <w:left w:val="nil"/>
              <w:bottom w:val="single" w:sz="4" w:space="0" w:color="auto"/>
              <w:right w:val="single" w:sz="4" w:space="0" w:color="auto"/>
            </w:tcBorders>
            <w:shd w:val="clear" w:color="auto" w:fill="auto"/>
            <w:hideMark/>
          </w:tcPr>
          <w:p w14:paraId="29C36D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7DF7F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04474E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44A2A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Commitment to Long-Term Impact:</w:t>
            </w:r>
          </w:p>
        </w:tc>
        <w:tc>
          <w:tcPr>
            <w:tcW w:w="6762" w:type="dxa"/>
            <w:tcBorders>
              <w:top w:val="nil"/>
              <w:left w:val="nil"/>
              <w:bottom w:val="single" w:sz="4" w:space="0" w:color="auto"/>
              <w:right w:val="single" w:sz="4" w:space="0" w:color="auto"/>
            </w:tcBorders>
            <w:shd w:val="clear" w:color="auto" w:fill="auto"/>
            <w:hideMark/>
          </w:tcPr>
          <w:p w14:paraId="1D1F814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CB07B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807F8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09EE0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1A4E6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3FA28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and Antikytherian PrimeBookTools are committed to long-term impact and sustainability, envisioning their contributions as enduring assets to the scientific community and broader society. The project's long-term vision extends far beyond the initial funding period, with plans to continuously evolve and adapt to meet the changing needs of users and stakeholders.</w:t>
            </w:r>
          </w:p>
        </w:tc>
        <w:tc>
          <w:tcPr>
            <w:tcW w:w="2566" w:type="dxa"/>
            <w:tcBorders>
              <w:top w:val="nil"/>
              <w:left w:val="nil"/>
              <w:bottom w:val="single" w:sz="4" w:space="0" w:color="auto"/>
              <w:right w:val="single" w:sz="4" w:space="0" w:color="auto"/>
            </w:tcBorders>
            <w:shd w:val="clear" w:color="auto" w:fill="auto"/>
            <w:hideMark/>
          </w:tcPr>
          <w:p w14:paraId="6A4A39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E24B9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8A9A5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338E1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DEC5C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fostering collaboration and interdisciplinary research, the project aims to generate insights and resources that will remain relevant and valuable for years to come. This includes developing innovative algorithms, tools, and methodologies that advance prime number theory and its applications in diverse fields such as cryptography, computer science, and data compression.</w:t>
            </w:r>
          </w:p>
        </w:tc>
        <w:tc>
          <w:tcPr>
            <w:tcW w:w="2566" w:type="dxa"/>
            <w:tcBorders>
              <w:top w:val="nil"/>
              <w:left w:val="nil"/>
              <w:bottom w:val="single" w:sz="4" w:space="0" w:color="auto"/>
              <w:right w:val="single" w:sz="4" w:space="0" w:color="auto"/>
            </w:tcBorders>
            <w:shd w:val="clear" w:color="auto" w:fill="auto"/>
            <w:hideMark/>
          </w:tcPr>
          <w:p w14:paraId="4856FA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D127A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379F9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6E3EA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6707C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project's commitment to transparency, accountability, and responsible stewardship of resources ensures that it remains accountable to its stakeholders and upholds ethical standards in all aspects of its work. This commitment is integral to building trust and credibility within the scientific community and securing support for ongoing research and development efforts.</w:t>
            </w:r>
          </w:p>
        </w:tc>
        <w:tc>
          <w:tcPr>
            <w:tcW w:w="2566" w:type="dxa"/>
            <w:tcBorders>
              <w:top w:val="nil"/>
              <w:left w:val="nil"/>
              <w:bottom w:val="single" w:sz="4" w:space="0" w:color="auto"/>
              <w:right w:val="single" w:sz="4" w:space="0" w:color="auto"/>
            </w:tcBorders>
            <w:shd w:val="clear" w:color="auto" w:fill="auto"/>
            <w:hideMark/>
          </w:tcPr>
          <w:p w14:paraId="6CA144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D02A6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FEB00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819EC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Sustainability through Diverse Revenue Streams:</w:t>
            </w:r>
          </w:p>
        </w:tc>
        <w:tc>
          <w:tcPr>
            <w:tcW w:w="6762" w:type="dxa"/>
            <w:tcBorders>
              <w:top w:val="nil"/>
              <w:left w:val="nil"/>
              <w:bottom w:val="single" w:sz="4" w:space="0" w:color="auto"/>
              <w:right w:val="single" w:sz="4" w:space="0" w:color="auto"/>
            </w:tcBorders>
            <w:shd w:val="clear" w:color="auto" w:fill="auto"/>
            <w:hideMark/>
          </w:tcPr>
          <w:p w14:paraId="58B542E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CD4BF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CCB8E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4F71A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B777A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776DAB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Both PrimeBookOne and Antikytherian PrimeBookTools adopt a sustainable business model that leverages diverse revenue streams to fund ongoing research, development, and operational expenses. This includes revenue generated from software licensure, operating system incorporation, and SOC (System on Chip) implementation, as well as income from collaborative ventures and partnerships.</w:t>
            </w:r>
          </w:p>
        </w:tc>
        <w:tc>
          <w:tcPr>
            <w:tcW w:w="2566" w:type="dxa"/>
            <w:tcBorders>
              <w:top w:val="nil"/>
              <w:left w:val="nil"/>
              <w:bottom w:val="single" w:sz="4" w:space="0" w:color="auto"/>
              <w:right w:val="single" w:sz="4" w:space="0" w:color="auto"/>
            </w:tcBorders>
            <w:shd w:val="clear" w:color="auto" w:fill="auto"/>
            <w:hideMark/>
          </w:tcPr>
          <w:p w14:paraId="75B1D1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02383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5DEDA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77E7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F4477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PrimeBookOne's revenue streams are directed towards sustaining the project's infrastructure, supporting ongoing research initiatives, and contributing to the Tardigradia Science-Park Restaurant Franchise Project. The project's committee-based governance ensures that funds are allocated responsibly and transparently, in accordance with the interests and priorities of its user base.</w:t>
            </w:r>
          </w:p>
        </w:tc>
        <w:tc>
          <w:tcPr>
            <w:tcW w:w="2566" w:type="dxa"/>
            <w:tcBorders>
              <w:top w:val="nil"/>
              <w:left w:val="nil"/>
              <w:bottom w:val="single" w:sz="4" w:space="0" w:color="auto"/>
              <w:right w:val="single" w:sz="4" w:space="0" w:color="auto"/>
            </w:tcBorders>
            <w:shd w:val="clear" w:color="auto" w:fill="auto"/>
            <w:hideMark/>
          </w:tcPr>
          <w:p w14:paraId="3967325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AF4FD1"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B32D02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68108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4FEDC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Antikytherian PrimeBookTools generates revenue through the licensure of algorithms, software tools, and services developed for PrimeBookOne. Income generated by the company is reinvested into research and development efforts, as well as operational expenses, to ensure the continued growth and success of both PrimeBookOne and Antikytherian PrimeBookTools.</w:t>
            </w:r>
          </w:p>
        </w:tc>
        <w:tc>
          <w:tcPr>
            <w:tcW w:w="2566" w:type="dxa"/>
            <w:tcBorders>
              <w:top w:val="nil"/>
              <w:left w:val="nil"/>
              <w:bottom w:val="single" w:sz="4" w:space="0" w:color="auto"/>
              <w:right w:val="single" w:sz="4" w:space="0" w:color="auto"/>
            </w:tcBorders>
            <w:shd w:val="clear" w:color="auto" w:fill="auto"/>
            <w:hideMark/>
          </w:tcPr>
          <w:p w14:paraId="3B60DA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7F851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995C0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120A9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Collaboration and Knowledge Sharing:</w:t>
            </w:r>
          </w:p>
        </w:tc>
        <w:tc>
          <w:tcPr>
            <w:tcW w:w="6762" w:type="dxa"/>
            <w:tcBorders>
              <w:top w:val="nil"/>
              <w:left w:val="nil"/>
              <w:bottom w:val="single" w:sz="4" w:space="0" w:color="auto"/>
              <w:right w:val="single" w:sz="4" w:space="0" w:color="auto"/>
            </w:tcBorders>
            <w:shd w:val="clear" w:color="auto" w:fill="auto"/>
            <w:hideMark/>
          </w:tcPr>
          <w:p w14:paraId="4C2DB48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7264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8CFC3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A2295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DCCB9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07BBE3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project fosters collaboration and knowledge sharing through partnerships with academic institutions, research organizations, and industry stakeholders. Ongoing collaboration ensures the exchange of ideas, expertise, and resources, enriching the research ecosystem and driving innovation in prime number theory and its applications.</w:t>
            </w:r>
          </w:p>
        </w:tc>
        <w:tc>
          <w:tcPr>
            <w:tcW w:w="2566" w:type="dxa"/>
            <w:tcBorders>
              <w:top w:val="nil"/>
              <w:left w:val="nil"/>
              <w:bottom w:val="single" w:sz="4" w:space="0" w:color="auto"/>
              <w:right w:val="single" w:sz="4" w:space="0" w:color="auto"/>
            </w:tcBorders>
            <w:shd w:val="clear" w:color="auto" w:fill="auto"/>
            <w:hideMark/>
          </w:tcPr>
          <w:p w14:paraId="163E2E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2BC42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DB4A2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D542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6F6C4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and Antikytherian PrimeBookTools are committed to open access and knowledge dissemination, making research findings, algorithms, and tools freely available to the scientific community and broader public. This commitment to openness and accessibility enhances the project's impact and ensures that its contributions are widely disseminated and utilized for the benefit of society.</w:t>
            </w:r>
          </w:p>
        </w:tc>
        <w:tc>
          <w:tcPr>
            <w:tcW w:w="2566" w:type="dxa"/>
            <w:tcBorders>
              <w:top w:val="nil"/>
              <w:left w:val="nil"/>
              <w:bottom w:val="single" w:sz="4" w:space="0" w:color="auto"/>
              <w:right w:val="single" w:sz="4" w:space="0" w:color="auto"/>
            </w:tcBorders>
            <w:shd w:val="clear" w:color="auto" w:fill="auto"/>
            <w:hideMark/>
          </w:tcPr>
          <w:p w14:paraId="5A9A1B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E4595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B0FED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15F96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In summary</w:t>
            </w:r>
          </w:p>
        </w:tc>
        <w:tc>
          <w:tcPr>
            <w:tcW w:w="6762" w:type="dxa"/>
            <w:tcBorders>
              <w:top w:val="nil"/>
              <w:left w:val="nil"/>
              <w:bottom w:val="single" w:sz="4" w:space="0" w:color="auto"/>
              <w:right w:val="single" w:sz="4" w:space="0" w:color="auto"/>
            </w:tcBorders>
            <w:shd w:val="clear" w:color="auto" w:fill="auto"/>
            <w:hideMark/>
          </w:tcPr>
          <w:p w14:paraId="1F0C97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10E19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956EB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74574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875E1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A3217A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and Antikytherian PrimeBookTools are dedicated to long-term impact and sustainability, with a vision to advance prime number theory and its applications in a responsible and collaborative manner. By leveraging diverse revenue streams, fostering collaboration, and promoting knowledge sharing, the project aims to create lasting value for the scientific community and broader society.</w:t>
            </w:r>
          </w:p>
        </w:tc>
        <w:tc>
          <w:tcPr>
            <w:tcW w:w="2566" w:type="dxa"/>
            <w:tcBorders>
              <w:top w:val="nil"/>
              <w:left w:val="nil"/>
              <w:bottom w:val="single" w:sz="4" w:space="0" w:color="auto"/>
              <w:right w:val="single" w:sz="4" w:space="0" w:color="auto"/>
            </w:tcBorders>
            <w:shd w:val="clear" w:color="auto" w:fill="auto"/>
            <w:hideMark/>
          </w:tcPr>
          <w:p w14:paraId="7EC19C4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10471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3C5465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29162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42E09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9AF74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96EA4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A840A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4. Value Proposition: </w:t>
            </w:r>
          </w:p>
        </w:tc>
        <w:tc>
          <w:tcPr>
            <w:tcW w:w="2363" w:type="dxa"/>
            <w:tcBorders>
              <w:top w:val="nil"/>
              <w:left w:val="nil"/>
              <w:bottom w:val="single" w:sz="4" w:space="0" w:color="auto"/>
              <w:right w:val="single" w:sz="4" w:space="0" w:color="auto"/>
            </w:tcBorders>
            <w:shd w:val="clear" w:color="auto" w:fill="auto"/>
            <w:hideMark/>
          </w:tcPr>
          <w:p w14:paraId="368F20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9. Conclusion: </w:t>
            </w:r>
          </w:p>
        </w:tc>
        <w:tc>
          <w:tcPr>
            <w:tcW w:w="6762" w:type="dxa"/>
            <w:tcBorders>
              <w:top w:val="nil"/>
              <w:left w:val="nil"/>
              <w:bottom w:val="single" w:sz="4" w:space="0" w:color="auto"/>
              <w:right w:val="single" w:sz="4" w:space="0" w:color="auto"/>
            </w:tcBorders>
            <w:shd w:val="clear" w:color="auto" w:fill="auto"/>
            <w:hideMark/>
          </w:tcPr>
          <w:p w14:paraId="2BEFF1E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By clearly articulating the value proposition for potential funders, you can effectively communicate the significance and impact of the project, compelling them to support your crowd funding campaign.</w:t>
            </w:r>
          </w:p>
        </w:tc>
        <w:tc>
          <w:tcPr>
            <w:tcW w:w="2566" w:type="dxa"/>
            <w:tcBorders>
              <w:top w:val="nil"/>
              <w:left w:val="nil"/>
              <w:bottom w:val="single" w:sz="4" w:space="0" w:color="auto"/>
              <w:right w:val="single" w:sz="4" w:space="0" w:color="auto"/>
            </w:tcBorders>
            <w:shd w:val="clear" w:color="auto" w:fill="auto"/>
            <w:hideMark/>
          </w:tcPr>
          <w:p w14:paraId="2F200C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476FB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7A7C5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50691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DC439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clearly articulating the value proposition for potential funders, you can effectively communicate the significance and impact of the project, compelling them to support your crowdfunding campaign.</w:t>
            </w:r>
          </w:p>
        </w:tc>
        <w:tc>
          <w:tcPr>
            <w:tcW w:w="2566" w:type="dxa"/>
            <w:tcBorders>
              <w:top w:val="nil"/>
              <w:left w:val="nil"/>
              <w:bottom w:val="single" w:sz="4" w:space="0" w:color="auto"/>
              <w:right w:val="single" w:sz="4" w:space="0" w:color="auto"/>
            </w:tcBorders>
            <w:shd w:val="clear" w:color="auto" w:fill="auto"/>
            <w:hideMark/>
          </w:tcPr>
          <w:p w14:paraId="4218CB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365A1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B95B6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777EC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Comprehensive Understanding of Value:</w:t>
            </w:r>
          </w:p>
        </w:tc>
        <w:tc>
          <w:tcPr>
            <w:tcW w:w="6762" w:type="dxa"/>
            <w:tcBorders>
              <w:top w:val="nil"/>
              <w:left w:val="nil"/>
              <w:bottom w:val="single" w:sz="4" w:space="0" w:color="auto"/>
              <w:right w:val="single" w:sz="4" w:space="0" w:color="auto"/>
            </w:tcBorders>
            <w:shd w:val="clear" w:color="auto" w:fill="auto"/>
            <w:hideMark/>
          </w:tcPr>
          <w:p w14:paraId="28484E6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8F557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3E839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B2C1A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006B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91F414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conclusion, the comprehensive presentation of the project's value proposition provides potential funders with a deep understanding of the project's significance, potential impact, and long-term vision. Each aspect of the value proposition, from the unique contribution to prime number theory to the sustainability plan, has been meticulously detailed to demonstrate the project's value proposition in its entirety.</w:t>
            </w:r>
          </w:p>
        </w:tc>
        <w:tc>
          <w:tcPr>
            <w:tcW w:w="2566" w:type="dxa"/>
            <w:tcBorders>
              <w:top w:val="nil"/>
              <w:left w:val="nil"/>
              <w:bottom w:val="single" w:sz="4" w:space="0" w:color="auto"/>
              <w:right w:val="single" w:sz="4" w:space="0" w:color="auto"/>
            </w:tcBorders>
            <w:shd w:val="clear" w:color="auto" w:fill="auto"/>
            <w:hideMark/>
          </w:tcPr>
          <w:p w14:paraId="7F172D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C9A49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44ABB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1A3F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FAA8D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the exploration of various dimensions of the project, including its scientific, educational, and societal implications, potential funders are equipped with a comprehensive understanding of how their support can contribute to advancing mathematical knowledge, fostering innovation, and addressing real-world challenges.</w:t>
            </w:r>
          </w:p>
        </w:tc>
        <w:tc>
          <w:tcPr>
            <w:tcW w:w="2566" w:type="dxa"/>
            <w:tcBorders>
              <w:top w:val="nil"/>
              <w:left w:val="nil"/>
              <w:bottom w:val="single" w:sz="4" w:space="0" w:color="auto"/>
              <w:right w:val="single" w:sz="4" w:space="0" w:color="auto"/>
            </w:tcBorders>
            <w:shd w:val="clear" w:color="auto" w:fill="auto"/>
            <w:hideMark/>
          </w:tcPr>
          <w:p w14:paraId="722CFBE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6F1CF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CBCFC1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1EFAA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Alignment with Funders' Interests:</w:t>
            </w:r>
          </w:p>
        </w:tc>
        <w:tc>
          <w:tcPr>
            <w:tcW w:w="6762" w:type="dxa"/>
            <w:tcBorders>
              <w:top w:val="nil"/>
              <w:left w:val="nil"/>
              <w:bottom w:val="single" w:sz="4" w:space="0" w:color="auto"/>
              <w:right w:val="single" w:sz="4" w:space="0" w:color="auto"/>
            </w:tcBorders>
            <w:shd w:val="clear" w:color="auto" w:fill="auto"/>
            <w:hideMark/>
          </w:tcPr>
          <w:p w14:paraId="0481E64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66B17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D393C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2B83F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6500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AE23C6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aligning the project's goals and objectives with the interests and priorities of potential funders, the value proposition resonates with their motivations and values. Whether it's advancing scientific knowledge, promoting STEM education, or addressing societal challenges, the project offers avenues for funders to support causes they care about while contributing to meaningful research and innovation.</w:t>
            </w:r>
          </w:p>
        </w:tc>
        <w:tc>
          <w:tcPr>
            <w:tcW w:w="2566" w:type="dxa"/>
            <w:tcBorders>
              <w:top w:val="nil"/>
              <w:left w:val="nil"/>
              <w:bottom w:val="single" w:sz="4" w:space="0" w:color="auto"/>
              <w:right w:val="single" w:sz="4" w:space="0" w:color="auto"/>
            </w:tcBorders>
            <w:shd w:val="clear" w:color="auto" w:fill="auto"/>
            <w:hideMark/>
          </w:tcPr>
          <w:p w14:paraId="0433F1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E31F9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AD89B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C5C01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6671B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value proposition underscores the project's commitment to transparency, accountability, and responsible stewardship of resources, ensuring that funders can trust their investments will be used effectively and ethically to achieve the project's goals.</w:t>
            </w:r>
          </w:p>
        </w:tc>
        <w:tc>
          <w:tcPr>
            <w:tcW w:w="2566" w:type="dxa"/>
            <w:tcBorders>
              <w:top w:val="nil"/>
              <w:left w:val="nil"/>
              <w:bottom w:val="single" w:sz="4" w:space="0" w:color="auto"/>
              <w:right w:val="single" w:sz="4" w:space="0" w:color="auto"/>
            </w:tcBorders>
            <w:shd w:val="clear" w:color="auto" w:fill="auto"/>
            <w:hideMark/>
          </w:tcPr>
          <w:p w14:paraId="402476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E4C42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13F867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16A6A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Call to Action:</w:t>
            </w:r>
          </w:p>
        </w:tc>
        <w:tc>
          <w:tcPr>
            <w:tcW w:w="6762" w:type="dxa"/>
            <w:tcBorders>
              <w:top w:val="nil"/>
              <w:left w:val="nil"/>
              <w:bottom w:val="single" w:sz="4" w:space="0" w:color="auto"/>
              <w:right w:val="single" w:sz="4" w:space="0" w:color="auto"/>
            </w:tcBorders>
            <w:shd w:val="clear" w:color="auto" w:fill="auto"/>
            <w:hideMark/>
          </w:tcPr>
          <w:p w14:paraId="79040E3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BA21A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A43D1F"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7458C9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3066B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E026E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With a compelling value proposition in place, the conclusion of the crowdfunding campaign message serves as a call to action, urging potential funders to support the project and become part of its journey. By highlighting the significance of their contributions and the potential impact they can make, the conclusion motivates funders to take action and contribute to the project's success.</w:t>
            </w:r>
          </w:p>
        </w:tc>
        <w:tc>
          <w:tcPr>
            <w:tcW w:w="2566" w:type="dxa"/>
            <w:tcBorders>
              <w:top w:val="nil"/>
              <w:left w:val="nil"/>
              <w:bottom w:val="single" w:sz="4" w:space="0" w:color="auto"/>
              <w:right w:val="single" w:sz="4" w:space="0" w:color="auto"/>
            </w:tcBorders>
            <w:shd w:val="clear" w:color="auto" w:fill="auto"/>
            <w:hideMark/>
          </w:tcPr>
          <w:p w14:paraId="734087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EC52F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0C991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E465E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26A43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Whether it's through financial support, spreading the word about the campaign, or offering expertise and resources, the conclusion invites potential funders to join the project's community and become active participants in advancing mathematical knowledge and scientific innovation.</w:t>
            </w:r>
          </w:p>
        </w:tc>
        <w:tc>
          <w:tcPr>
            <w:tcW w:w="2566" w:type="dxa"/>
            <w:tcBorders>
              <w:top w:val="nil"/>
              <w:left w:val="nil"/>
              <w:bottom w:val="single" w:sz="4" w:space="0" w:color="auto"/>
              <w:right w:val="single" w:sz="4" w:space="0" w:color="auto"/>
            </w:tcBorders>
            <w:shd w:val="clear" w:color="auto" w:fill="auto"/>
            <w:hideMark/>
          </w:tcPr>
          <w:p w14:paraId="7D7797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F6BF3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8372F6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21AD3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Continued Engagement and Communication:</w:t>
            </w:r>
          </w:p>
        </w:tc>
        <w:tc>
          <w:tcPr>
            <w:tcW w:w="6762" w:type="dxa"/>
            <w:tcBorders>
              <w:top w:val="nil"/>
              <w:left w:val="nil"/>
              <w:bottom w:val="single" w:sz="4" w:space="0" w:color="auto"/>
              <w:right w:val="single" w:sz="4" w:space="0" w:color="auto"/>
            </w:tcBorders>
            <w:shd w:val="clear" w:color="auto" w:fill="auto"/>
            <w:hideMark/>
          </w:tcPr>
          <w:p w14:paraId="1EFF4FC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3A3761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0BF96A"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512F09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A550B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B1721C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Finally, the conclusion emphasizes the importance of continued engagement and communication with funders throughout the crowdfunding campaign and beyond. By fostering a sense of community and collaboration, the project aims to cultivate long-term relationships with funders, partners, and stakeholders, ensuring ongoing support and involvement in its endeavors.</w:t>
            </w:r>
          </w:p>
        </w:tc>
        <w:tc>
          <w:tcPr>
            <w:tcW w:w="2566" w:type="dxa"/>
            <w:tcBorders>
              <w:top w:val="nil"/>
              <w:left w:val="nil"/>
              <w:bottom w:val="single" w:sz="4" w:space="0" w:color="auto"/>
              <w:right w:val="single" w:sz="4" w:space="0" w:color="auto"/>
            </w:tcBorders>
            <w:shd w:val="clear" w:color="auto" w:fill="auto"/>
            <w:hideMark/>
          </w:tcPr>
          <w:p w14:paraId="61769A5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49BAA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C6C0A0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C8D8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35D82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Through regular updates, progress reports, and opportunities for involvement, the project seeks to keep funders informed and engaged, building trust and confidence in its ability to deliver on its promises and achieve its goals.</w:t>
            </w:r>
          </w:p>
        </w:tc>
        <w:tc>
          <w:tcPr>
            <w:tcW w:w="2566" w:type="dxa"/>
            <w:tcBorders>
              <w:top w:val="nil"/>
              <w:left w:val="nil"/>
              <w:bottom w:val="single" w:sz="4" w:space="0" w:color="auto"/>
              <w:right w:val="single" w:sz="4" w:space="0" w:color="auto"/>
            </w:tcBorders>
            <w:shd w:val="clear" w:color="auto" w:fill="auto"/>
            <w:hideMark/>
          </w:tcPr>
          <w:p w14:paraId="6FB23FE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519E4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B89CA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30D89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 conclusion</w:t>
            </w:r>
          </w:p>
        </w:tc>
        <w:tc>
          <w:tcPr>
            <w:tcW w:w="6762" w:type="dxa"/>
            <w:tcBorders>
              <w:top w:val="nil"/>
              <w:left w:val="nil"/>
              <w:bottom w:val="single" w:sz="4" w:space="0" w:color="auto"/>
              <w:right w:val="single" w:sz="4" w:space="0" w:color="auto"/>
            </w:tcBorders>
            <w:shd w:val="clear" w:color="auto" w:fill="auto"/>
            <w:hideMark/>
          </w:tcPr>
          <w:p w14:paraId="5CF1E3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6BF41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B5747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03200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5A7CF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789C5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the value proposition serves as a powerful tool for engaging potential funders, compelling them to support the project's crowdfunding campaign and become active participants in its journey. With a clear understanding of the project's significance, impact, and vision, funders are motivated to take action and contribute to advancing mathematical knowledge, fostering innovation, and addressing real-world challenges.</w:t>
            </w:r>
          </w:p>
        </w:tc>
        <w:tc>
          <w:tcPr>
            <w:tcW w:w="2566" w:type="dxa"/>
            <w:tcBorders>
              <w:top w:val="nil"/>
              <w:left w:val="nil"/>
              <w:bottom w:val="single" w:sz="4" w:space="0" w:color="auto"/>
              <w:right w:val="single" w:sz="4" w:space="0" w:color="auto"/>
            </w:tcBorders>
            <w:shd w:val="clear" w:color="auto" w:fill="auto"/>
            <w:hideMark/>
          </w:tcPr>
          <w:p w14:paraId="1111CB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4B176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64162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7C0CF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0A19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57E3F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2872A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6CE1B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009BE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6956B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A3173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68814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8C34E4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9DE86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EAB57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A40EA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BAD5E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F3478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0676A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032E3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1132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42F04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7ADA2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3E800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7C178D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4669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011F25" w14:textId="77777777" w:rsidTr="0041317E">
        <w:trPr>
          <w:trHeight w:val="1032"/>
        </w:trPr>
        <w:tc>
          <w:tcPr>
            <w:tcW w:w="1349" w:type="dxa"/>
            <w:tcBorders>
              <w:top w:val="nil"/>
              <w:left w:val="single" w:sz="4" w:space="0" w:color="auto"/>
              <w:bottom w:val="single" w:sz="4" w:space="0" w:color="auto"/>
              <w:right w:val="single" w:sz="4" w:space="0" w:color="auto"/>
            </w:tcBorders>
            <w:shd w:val="clear" w:color="auto" w:fill="auto"/>
            <w:hideMark/>
          </w:tcPr>
          <w:p w14:paraId="7F0912A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1A1CC3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790F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Choose the appropriate crowd funding platform(s) to host the campaign. Consider platforms like Kickstarter, Indiegogo, GoFundMe, or specialized science funding platforms.</w:t>
            </w:r>
          </w:p>
        </w:tc>
        <w:tc>
          <w:tcPr>
            <w:tcW w:w="2566" w:type="dxa"/>
            <w:tcBorders>
              <w:top w:val="nil"/>
              <w:left w:val="nil"/>
              <w:bottom w:val="single" w:sz="4" w:space="0" w:color="auto"/>
              <w:right w:val="single" w:sz="4" w:space="0" w:color="auto"/>
            </w:tcBorders>
            <w:shd w:val="clear" w:color="auto" w:fill="auto"/>
            <w:hideMark/>
          </w:tcPr>
          <w:p w14:paraId="2B6140D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69577B" w14:textId="77777777" w:rsidTr="0041317E">
        <w:trPr>
          <w:trHeight w:val="2304"/>
        </w:trPr>
        <w:tc>
          <w:tcPr>
            <w:tcW w:w="1349" w:type="dxa"/>
            <w:tcBorders>
              <w:top w:val="nil"/>
              <w:left w:val="single" w:sz="4" w:space="0" w:color="auto"/>
              <w:bottom w:val="single" w:sz="4" w:space="0" w:color="auto"/>
              <w:right w:val="single" w:sz="4" w:space="0" w:color="auto"/>
            </w:tcBorders>
            <w:shd w:val="clear" w:color="auto" w:fill="auto"/>
            <w:hideMark/>
          </w:tcPr>
          <w:p w14:paraId="3F149A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146F1C0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Platform Research and Comparison: </w:t>
            </w:r>
          </w:p>
        </w:tc>
        <w:tc>
          <w:tcPr>
            <w:tcW w:w="6762" w:type="dxa"/>
            <w:tcBorders>
              <w:top w:val="nil"/>
              <w:left w:val="nil"/>
              <w:bottom w:val="single" w:sz="4" w:space="0" w:color="auto"/>
              <w:right w:val="single" w:sz="4" w:space="0" w:color="auto"/>
            </w:tcBorders>
            <w:shd w:val="clear" w:color="auto" w:fill="auto"/>
            <w:hideMark/>
          </w:tcPr>
          <w:p w14:paraId="05927B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thorough research on different crowd funding platforms, including Kickstarter, Indiegogo, GoFundMe, and specialized science funding platforms like Experiment.com or PetriDish.org. Compare their features, fees, audience demographics, success rates, and project categories to determine which platforms align best with your project's needs and goals.</w:t>
            </w:r>
          </w:p>
        </w:tc>
        <w:tc>
          <w:tcPr>
            <w:tcW w:w="2566" w:type="dxa"/>
            <w:tcBorders>
              <w:top w:val="nil"/>
              <w:left w:val="nil"/>
              <w:bottom w:val="single" w:sz="4" w:space="0" w:color="auto"/>
              <w:right w:val="single" w:sz="4" w:space="0" w:color="auto"/>
            </w:tcBorders>
            <w:shd w:val="clear" w:color="auto" w:fill="auto"/>
            <w:hideMark/>
          </w:tcPr>
          <w:p w14:paraId="5FA62F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Find the best turn-key solutions that do not take a large portion of the gain from crowdsourcing.  Find if these platforms help advertise and also what other types of support are offered</w:t>
            </w:r>
          </w:p>
        </w:tc>
      </w:tr>
      <w:tr w:rsidR="0041317E" w:rsidRPr="0041317E" w14:paraId="06A8F9F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54DC0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D19A6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Thorough Research:</w:t>
            </w:r>
          </w:p>
        </w:tc>
        <w:tc>
          <w:tcPr>
            <w:tcW w:w="6762" w:type="dxa"/>
            <w:tcBorders>
              <w:top w:val="nil"/>
              <w:left w:val="nil"/>
              <w:bottom w:val="single" w:sz="4" w:space="0" w:color="auto"/>
              <w:right w:val="single" w:sz="4" w:space="0" w:color="auto"/>
            </w:tcBorders>
            <w:shd w:val="clear" w:color="auto" w:fill="auto"/>
            <w:hideMark/>
          </w:tcPr>
          <w:p w14:paraId="3E1CE2B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5317D8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25C79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B891C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1D939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B45FB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first step in selecting the right crowd funding platform is to conduct thorough research on the available options. This includes platforms like Kickstarter, Indiegogo, GoFundMe, Experiment.com, and PetriDish.org, among others.</w:t>
            </w:r>
          </w:p>
        </w:tc>
        <w:tc>
          <w:tcPr>
            <w:tcW w:w="2566" w:type="dxa"/>
            <w:tcBorders>
              <w:top w:val="nil"/>
              <w:left w:val="nil"/>
              <w:bottom w:val="single" w:sz="4" w:space="0" w:color="auto"/>
              <w:right w:val="single" w:sz="4" w:space="0" w:color="auto"/>
            </w:tcBorders>
            <w:shd w:val="clear" w:color="auto" w:fill="auto"/>
            <w:hideMark/>
          </w:tcPr>
          <w:p w14:paraId="0DC921E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BC97C4" w14:textId="77777777" w:rsidTr="0041317E">
        <w:trPr>
          <w:trHeight w:val="7488"/>
        </w:trPr>
        <w:tc>
          <w:tcPr>
            <w:tcW w:w="1349" w:type="dxa"/>
            <w:tcBorders>
              <w:top w:val="nil"/>
              <w:left w:val="single" w:sz="4" w:space="0" w:color="auto"/>
              <w:bottom w:val="single" w:sz="4" w:space="0" w:color="auto"/>
              <w:right w:val="single" w:sz="4" w:space="0" w:color="auto"/>
            </w:tcBorders>
            <w:shd w:val="clear" w:color="auto" w:fill="auto"/>
            <w:hideMark/>
          </w:tcPr>
          <w:p w14:paraId="5C6713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5189F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Research involves exploring each platform's website, reading through their guidelines, and understanding their terms and conditions. This helps in gaining insights into the platform's policies, rules, and regulations, which are crucial for ensuring compliance and success.</w:t>
            </w:r>
          </w:p>
        </w:tc>
        <w:tc>
          <w:tcPr>
            <w:tcW w:w="6762" w:type="dxa"/>
            <w:tcBorders>
              <w:top w:val="nil"/>
              <w:left w:val="nil"/>
              <w:bottom w:val="single" w:sz="4" w:space="0" w:color="auto"/>
              <w:right w:val="single" w:sz="4" w:space="0" w:color="auto"/>
            </w:tcBorders>
            <w:shd w:val="clear" w:color="auto" w:fill="auto"/>
            <w:hideMark/>
          </w:tcPr>
          <w:p w14:paraId="4825EEA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41E3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ACEC0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21715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A2391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74AE5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Comparison of Features:</w:t>
            </w:r>
          </w:p>
        </w:tc>
        <w:tc>
          <w:tcPr>
            <w:tcW w:w="2566" w:type="dxa"/>
            <w:tcBorders>
              <w:top w:val="nil"/>
              <w:left w:val="nil"/>
              <w:bottom w:val="single" w:sz="4" w:space="0" w:color="auto"/>
              <w:right w:val="single" w:sz="4" w:space="0" w:color="auto"/>
            </w:tcBorders>
            <w:shd w:val="clear" w:color="auto" w:fill="auto"/>
            <w:hideMark/>
          </w:tcPr>
          <w:p w14:paraId="23507B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2E9F8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1E8D15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B2F06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BDB9C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Once the initial research is done, it's important to compare the features of each platform. This includes looking at the platform's user interface, ease of use, customization options, and project management tools.</w:t>
            </w:r>
          </w:p>
        </w:tc>
        <w:tc>
          <w:tcPr>
            <w:tcW w:w="2566" w:type="dxa"/>
            <w:tcBorders>
              <w:top w:val="nil"/>
              <w:left w:val="nil"/>
              <w:bottom w:val="single" w:sz="4" w:space="0" w:color="auto"/>
              <w:right w:val="single" w:sz="4" w:space="0" w:color="auto"/>
            </w:tcBorders>
            <w:shd w:val="clear" w:color="auto" w:fill="auto"/>
            <w:hideMark/>
          </w:tcPr>
          <w:p w14:paraId="1B8C9B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EB64D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3ABE8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02345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9F956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It's also essential to consider the platform's audience demographics, success rates, and project categories. Some platforms may cater more to creative projects, while others may have a focus on scientific research or social causes.</w:t>
            </w:r>
          </w:p>
        </w:tc>
        <w:tc>
          <w:tcPr>
            <w:tcW w:w="2566" w:type="dxa"/>
            <w:tcBorders>
              <w:top w:val="nil"/>
              <w:left w:val="nil"/>
              <w:bottom w:val="single" w:sz="4" w:space="0" w:color="auto"/>
              <w:right w:val="single" w:sz="4" w:space="0" w:color="auto"/>
            </w:tcBorders>
            <w:shd w:val="clear" w:color="auto" w:fill="auto"/>
            <w:hideMark/>
          </w:tcPr>
          <w:p w14:paraId="55342E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D69D5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A876E3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9CB22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Fees and Costs:</w:t>
            </w:r>
          </w:p>
        </w:tc>
        <w:tc>
          <w:tcPr>
            <w:tcW w:w="6762" w:type="dxa"/>
            <w:tcBorders>
              <w:top w:val="nil"/>
              <w:left w:val="nil"/>
              <w:bottom w:val="single" w:sz="4" w:space="0" w:color="auto"/>
              <w:right w:val="single" w:sz="4" w:space="0" w:color="auto"/>
            </w:tcBorders>
            <w:shd w:val="clear" w:color="auto" w:fill="auto"/>
            <w:hideMark/>
          </w:tcPr>
          <w:p w14:paraId="4E6AC75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16E8A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48078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C6005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BCFE1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6D7E5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Another critical aspect to consider is the fees and costs associated with each platform. This includes platform fees, transaction fees, and any additional charges for premium features or services.</w:t>
            </w:r>
          </w:p>
        </w:tc>
        <w:tc>
          <w:tcPr>
            <w:tcW w:w="2566" w:type="dxa"/>
            <w:tcBorders>
              <w:top w:val="nil"/>
              <w:left w:val="nil"/>
              <w:bottom w:val="single" w:sz="4" w:space="0" w:color="auto"/>
              <w:right w:val="single" w:sz="4" w:space="0" w:color="auto"/>
            </w:tcBorders>
            <w:shd w:val="clear" w:color="auto" w:fill="auto"/>
            <w:hideMark/>
          </w:tcPr>
          <w:p w14:paraId="1695C2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F6B73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854A5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65829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B4FCE6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Understanding the fee structure is essential for budgeting and ensuring that the chosen platform is cost-effective and aligns with the project's financial goals.</w:t>
            </w:r>
          </w:p>
        </w:tc>
        <w:tc>
          <w:tcPr>
            <w:tcW w:w="2566" w:type="dxa"/>
            <w:tcBorders>
              <w:top w:val="nil"/>
              <w:left w:val="nil"/>
              <w:bottom w:val="single" w:sz="4" w:space="0" w:color="auto"/>
              <w:right w:val="single" w:sz="4" w:space="0" w:color="auto"/>
            </w:tcBorders>
            <w:shd w:val="clear" w:color="auto" w:fill="auto"/>
            <w:hideMark/>
          </w:tcPr>
          <w:p w14:paraId="3FADD5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A3E18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5DF28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216B7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Audience Reach and Support:</w:t>
            </w:r>
          </w:p>
        </w:tc>
        <w:tc>
          <w:tcPr>
            <w:tcW w:w="6762" w:type="dxa"/>
            <w:tcBorders>
              <w:top w:val="nil"/>
              <w:left w:val="nil"/>
              <w:bottom w:val="single" w:sz="4" w:space="0" w:color="auto"/>
              <w:right w:val="single" w:sz="4" w:space="0" w:color="auto"/>
            </w:tcBorders>
            <w:shd w:val="clear" w:color="auto" w:fill="auto"/>
            <w:hideMark/>
          </w:tcPr>
          <w:p w14:paraId="1624EAE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15499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A82E7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B103D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07E39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B284C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Assessing the platform's audience reach and support is crucial for maximizing exposure and engagement. Look for platforms that have a large and active user base, as well as built-in marketing and promotion tools.</w:t>
            </w:r>
          </w:p>
        </w:tc>
        <w:tc>
          <w:tcPr>
            <w:tcW w:w="2566" w:type="dxa"/>
            <w:tcBorders>
              <w:top w:val="nil"/>
              <w:left w:val="nil"/>
              <w:bottom w:val="single" w:sz="4" w:space="0" w:color="auto"/>
              <w:right w:val="single" w:sz="4" w:space="0" w:color="auto"/>
            </w:tcBorders>
            <w:shd w:val="clear" w:color="auto" w:fill="auto"/>
            <w:hideMark/>
          </w:tcPr>
          <w:p w14:paraId="619B87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4368D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D0BE72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AF54B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51443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Some platforms offer additional support and resources for project creators, such as dedicated customer service, educational materials, and marketing assistance. These can be valuable assets for ensuring the success of the crowdfunding campaign.</w:t>
            </w:r>
          </w:p>
        </w:tc>
        <w:tc>
          <w:tcPr>
            <w:tcW w:w="2566" w:type="dxa"/>
            <w:tcBorders>
              <w:top w:val="nil"/>
              <w:left w:val="nil"/>
              <w:bottom w:val="single" w:sz="4" w:space="0" w:color="auto"/>
              <w:right w:val="single" w:sz="4" w:space="0" w:color="auto"/>
            </w:tcBorders>
            <w:shd w:val="clear" w:color="auto" w:fill="auto"/>
            <w:hideMark/>
          </w:tcPr>
          <w:p w14:paraId="51B225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8EB7E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719DE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6BE35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Specialized Platforms:</w:t>
            </w:r>
          </w:p>
        </w:tc>
        <w:tc>
          <w:tcPr>
            <w:tcW w:w="6762" w:type="dxa"/>
            <w:tcBorders>
              <w:top w:val="nil"/>
              <w:left w:val="nil"/>
              <w:bottom w:val="single" w:sz="4" w:space="0" w:color="auto"/>
              <w:right w:val="single" w:sz="4" w:space="0" w:color="auto"/>
            </w:tcBorders>
            <w:shd w:val="clear" w:color="auto" w:fill="auto"/>
            <w:hideMark/>
          </w:tcPr>
          <w:p w14:paraId="33FD7FC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F1B18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B8CAD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73314C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B1F9A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C44FB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whether specialized science funding platforms like Experiment.com or PetriDish.org are better suited to the project's needs. These platforms may offer specific features and benefits tailored to scientific research projects, such as peer review processes, collaboration tools, and integration with academic institutions.</w:t>
            </w:r>
          </w:p>
        </w:tc>
        <w:tc>
          <w:tcPr>
            <w:tcW w:w="2566" w:type="dxa"/>
            <w:tcBorders>
              <w:top w:val="nil"/>
              <w:left w:val="nil"/>
              <w:bottom w:val="single" w:sz="4" w:space="0" w:color="auto"/>
              <w:right w:val="single" w:sz="4" w:space="0" w:color="auto"/>
            </w:tcBorders>
            <w:shd w:val="clear" w:color="auto" w:fill="auto"/>
            <w:hideMark/>
          </w:tcPr>
          <w:p w14:paraId="39321E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D09D2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64B8C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4D78E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243EF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pros and cons of specialized platforms compared to general crowdfunding platforms, weighing factors like audience reach, funding success rates, and platform fees.</w:t>
            </w:r>
          </w:p>
        </w:tc>
        <w:tc>
          <w:tcPr>
            <w:tcW w:w="2566" w:type="dxa"/>
            <w:tcBorders>
              <w:top w:val="nil"/>
              <w:left w:val="nil"/>
              <w:bottom w:val="single" w:sz="4" w:space="0" w:color="auto"/>
              <w:right w:val="single" w:sz="4" w:space="0" w:color="auto"/>
            </w:tcBorders>
            <w:shd w:val="clear" w:color="auto" w:fill="auto"/>
            <w:hideMark/>
          </w:tcPr>
          <w:p w14:paraId="079045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6AA40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22AE40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7A8CC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Alignment with Project Goals:</w:t>
            </w:r>
          </w:p>
        </w:tc>
        <w:tc>
          <w:tcPr>
            <w:tcW w:w="6762" w:type="dxa"/>
            <w:tcBorders>
              <w:top w:val="nil"/>
              <w:left w:val="nil"/>
              <w:bottom w:val="single" w:sz="4" w:space="0" w:color="auto"/>
              <w:right w:val="single" w:sz="4" w:space="0" w:color="auto"/>
            </w:tcBorders>
            <w:shd w:val="clear" w:color="auto" w:fill="auto"/>
            <w:hideMark/>
          </w:tcPr>
          <w:p w14:paraId="027682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6756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E67ED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023A5F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A3C81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3F9A0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Ultimately, the selected crowdfunding platform should align closely with the project's needs, goals, and target audience. It should provide the necessary tools, resources, and support to maximize the chances of fundraising success while minimizing costs and risks.</w:t>
            </w:r>
          </w:p>
        </w:tc>
        <w:tc>
          <w:tcPr>
            <w:tcW w:w="2566" w:type="dxa"/>
            <w:tcBorders>
              <w:top w:val="nil"/>
              <w:left w:val="nil"/>
              <w:bottom w:val="single" w:sz="4" w:space="0" w:color="auto"/>
              <w:right w:val="single" w:sz="4" w:space="0" w:color="auto"/>
            </w:tcBorders>
            <w:shd w:val="clear" w:color="auto" w:fill="auto"/>
            <w:hideMark/>
          </w:tcPr>
          <w:p w14:paraId="7305FDC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3FA93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09C97C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789F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83B1A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conducting thorough research and comparison, project creators can make an informed decision about which platform offers the best fit for their project and maximize the potential for crowdfunding success.</w:t>
            </w:r>
          </w:p>
        </w:tc>
        <w:tc>
          <w:tcPr>
            <w:tcW w:w="2566" w:type="dxa"/>
            <w:tcBorders>
              <w:top w:val="nil"/>
              <w:left w:val="nil"/>
              <w:bottom w:val="single" w:sz="4" w:space="0" w:color="auto"/>
              <w:right w:val="single" w:sz="4" w:space="0" w:color="auto"/>
            </w:tcBorders>
            <w:shd w:val="clear" w:color="auto" w:fill="auto"/>
            <w:hideMark/>
          </w:tcPr>
          <w:p w14:paraId="5F42158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4382A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64A80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31E96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D3E1F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790C0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7206AC" w14:textId="77777777" w:rsidTr="0041317E">
        <w:trPr>
          <w:trHeight w:val="4032"/>
        </w:trPr>
        <w:tc>
          <w:tcPr>
            <w:tcW w:w="1349" w:type="dxa"/>
            <w:tcBorders>
              <w:top w:val="nil"/>
              <w:left w:val="single" w:sz="4" w:space="0" w:color="auto"/>
              <w:bottom w:val="single" w:sz="4" w:space="0" w:color="auto"/>
              <w:right w:val="single" w:sz="4" w:space="0" w:color="auto"/>
            </w:tcBorders>
            <w:shd w:val="clear" w:color="auto" w:fill="auto"/>
            <w:hideMark/>
          </w:tcPr>
          <w:p w14:paraId="43F711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786F47E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Audience Reach and Demographics: </w:t>
            </w:r>
          </w:p>
        </w:tc>
        <w:tc>
          <w:tcPr>
            <w:tcW w:w="6762" w:type="dxa"/>
            <w:tcBorders>
              <w:top w:val="nil"/>
              <w:left w:val="nil"/>
              <w:bottom w:val="single" w:sz="4" w:space="0" w:color="auto"/>
              <w:right w:val="single" w:sz="4" w:space="0" w:color="auto"/>
            </w:tcBorders>
            <w:shd w:val="clear" w:color="auto" w:fill="auto"/>
            <w:hideMark/>
          </w:tcPr>
          <w:p w14:paraId="60278D5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Evaluate the audience reach and demographics of each platform to identify which platforms attract individuals who are likely to be interested in supporting a scientific project on counting primes. Consider factors such as the platform's user base, community engagement, and existing projects in related fields.</w:t>
            </w:r>
          </w:p>
        </w:tc>
        <w:tc>
          <w:tcPr>
            <w:tcW w:w="2566" w:type="dxa"/>
            <w:tcBorders>
              <w:top w:val="nil"/>
              <w:left w:val="nil"/>
              <w:bottom w:val="single" w:sz="4" w:space="0" w:color="auto"/>
              <w:right w:val="single" w:sz="4" w:space="0" w:color="auto"/>
            </w:tcBorders>
            <w:shd w:val="clear" w:color="auto" w:fill="auto"/>
            <w:hideMark/>
          </w:tcPr>
          <w:p w14:paraId="686623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It's not just about money, though helpful, it's about getting the word out, to be prime.  Science is a prime example.  Everyone that wants to make an effort towards the whole of human mathematical science, could be a lot larger than we realize.  To contribute to an great endeavor that has purpose mathematecally and computationally efficiency.</w:t>
            </w:r>
          </w:p>
        </w:tc>
      </w:tr>
      <w:tr w:rsidR="0041317E" w:rsidRPr="0041317E" w14:paraId="1BEA7E3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E76C1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F8ED4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Understanding Platform Users:</w:t>
            </w:r>
          </w:p>
        </w:tc>
        <w:tc>
          <w:tcPr>
            <w:tcW w:w="6762" w:type="dxa"/>
            <w:tcBorders>
              <w:top w:val="nil"/>
              <w:left w:val="nil"/>
              <w:bottom w:val="single" w:sz="4" w:space="0" w:color="auto"/>
              <w:right w:val="single" w:sz="4" w:space="0" w:color="auto"/>
            </w:tcBorders>
            <w:shd w:val="clear" w:color="auto" w:fill="auto"/>
            <w:hideMark/>
          </w:tcPr>
          <w:p w14:paraId="64B429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E9D19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8D9BA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DF889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BDE49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F6FFD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Start by thoroughly understanding the user base of each platform. This involves analyzing demographic data provided by the platforms themselves, as well as conducting independent research to gather insights into the characteristics of their users.</w:t>
            </w:r>
          </w:p>
        </w:tc>
        <w:tc>
          <w:tcPr>
            <w:tcW w:w="2566" w:type="dxa"/>
            <w:tcBorders>
              <w:top w:val="nil"/>
              <w:left w:val="nil"/>
              <w:bottom w:val="single" w:sz="4" w:space="0" w:color="auto"/>
              <w:right w:val="single" w:sz="4" w:space="0" w:color="auto"/>
            </w:tcBorders>
            <w:shd w:val="clear" w:color="auto" w:fill="auto"/>
            <w:hideMark/>
          </w:tcPr>
          <w:p w14:paraId="33C2DC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1DB4A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4993F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3023D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DB963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at factors such as age, gender, location, educational background, and interests to build a comprehensive profile of the platform's audience. Understanding who the typical users are will help in determining whether they align with the target audience for the project on counting primes.</w:t>
            </w:r>
          </w:p>
        </w:tc>
        <w:tc>
          <w:tcPr>
            <w:tcW w:w="2566" w:type="dxa"/>
            <w:tcBorders>
              <w:top w:val="nil"/>
              <w:left w:val="nil"/>
              <w:bottom w:val="single" w:sz="4" w:space="0" w:color="auto"/>
              <w:right w:val="single" w:sz="4" w:space="0" w:color="auto"/>
            </w:tcBorders>
            <w:shd w:val="clear" w:color="auto" w:fill="auto"/>
            <w:hideMark/>
          </w:tcPr>
          <w:p w14:paraId="161EB5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AF8AA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5A7F2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1BCDD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Community Engagement:</w:t>
            </w:r>
          </w:p>
        </w:tc>
        <w:tc>
          <w:tcPr>
            <w:tcW w:w="6762" w:type="dxa"/>
            <w:tcBorders>
              <w:top w:val="nil"/>
              <w:left w:val="nil"/>
              <w:bottom w:val="single" w:sz="4" w:space="0" w:color="auto"/>
              <w:right w:val="single" w:sz="4" w:space="0" w:color="auto"/>
            </w:tcBorders>
            <w:shd w:val="clear" w:color="auto" w:fill="auto"/>
            <w:hideMark/>
          </w:tcPr>
          <w:p w14:paraId="30B5741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C34A5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2E59F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B65F9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1B309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23A3E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level of community engagement on each platform. This includes assessing the frequency and quality of interactions between users, as well as the level of participation in discussions, comments, and feedback.</w:t>
            </w:r>
          </w:p>
        </w:tc>
        <w:tc>
          <w:tcPr>
            <w:tcW w:w="2566" w:type="dxa"/>
            <w:tcBorders>
              <w:top w:val="nil"/>
              <w:left w:val="nil"/>
              <w:bottom w:val="single" w:sz="4" w:space="0" w:color="auto"/>
              <w:right w:val="single" w:sz="4" w:space="0" w:color="auto"/>
            </w:tcBorders>
            <w:shd w:val="clear" w:color="auto" w:fill="auto"/>
            <w:hideMark/>
          </w:tcPr>
          <w:p w14:paraId="5A531A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7207A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A3DD1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9984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75F93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Platforms with highly engaged communities may offer opportunities for greater visibility and support for the project. Look for platforms where users actively participate in crowdfunding campaigns, share projects with their networks, and provide valuable feedback to project creators.</w:t>
            </w:r>
          </w:p>
        </w:tc>
        <w:tc>
          <w:tcPr>
            <w:tcW w:w="2566" w:type="dxa"/>
            <w:tcBorders>
              <w:top w:val="nil"/>
              <w:left w:val="nil"/>
              <w:bottom w:val="single" w:sz="4" w:space="0" w:color="auto"/>
              <w:right w:val="single" w:sz="4" w:space="0" w:color="auto"/>
            </w:tcBorders>
            <w:shd w:val="clear" w:color="auto" w:fill="auto"/>
            <w:hideMark/>
          </w:tcPr>
          <w:p w14:paraId="14E641A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8E8DD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19D47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C9D05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Existing Projects in Related Fields:</w:t>
            </w:r>
          </w:p>
        </w:tc>
        <w:tc>
          <w:tcPr>
            <w:tcW w:w="6762" w:type="dxa"/>
            <w:tcBorders>
              <w:top w:val="nil"/>
              <w:left w:val="nil"/>
              <w:bottom w:val="single" w:sz="4" w:space="0" w:color="auto"/>
              <w:right w:val="single" w:sz="4" w:space="0" w:color="auto"/>
            </w:tcBorders>
            <w:shd w:val="clear" w:color="auto" w:fill="auto"/>
            <w:hideMark/>
          </w:tcPr>
          <w:p w14:paraId="2E49F50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64A684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5F4A7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AE406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E42D4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A9A66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at the types of projects that have been successfully funded on each platform, particularly those in related fields such as mathematics, science, technology, and education. This provides insights into the platform's track record in supporting similar projects and the interests of its user base.</w:t>
            </w:r>
          </w:p>
        </w:tc>
        <w:tc>
          <w:tcPr>
            <w:tcW w:w="2566" w:type="dxa"/>
            <w:tcBorders>
              <w:top w:val="nil"/>
              <w:left w:val="nil"/>
              <w:bottom w:val="single" w:sz="4" w:space="0" w:color="auto"/>
              <w:right w:val="single" w:sz="4" w:space="0" w:color="auto"/>
            </w:tcBorders>
            <w:shd w:val="clear" w:color="auto" w:fill="auto"/>
            <w:hideMark/>
          </w:tcPr>
          <w:p w14:paraId="6B60A9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98EBC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0B93A4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FCCD4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95B9AF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Analyze the success rates, funding goals, and funding amounts of relevant projects to gauge the platform's suitability for hosting a crowdfunding campaign for a project on counting primes.</w:t>
            </w:r>
          </w:p>
        </w:tc>
        <w:tc>
          <w:tcPr>
            <w:tcW w:w="2566" w:type="dxa"/>
            <w:tcBorders>
              <w:top w:val="nil"/>
              <w:left w:val="nil"/>
              <w:bottom w:val="single" w:sz="4" w:space="0" w:color="auto"/>
              <w:right w:val="single" w:sz="4" w:space="0" w:color="auto"/>
            </w:tcBorders>
            <w:shd w:val="clear" w:color="auto" w:fill="auto"/>
            <w:hideMark/>
          </w:tcPr>
          <w:p w14:paraId="3A55F4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B449B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B9A74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7EF2A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Alignment with Project Goals:</w:t>
            </w:r>
          </w:p>
        </w:tc>
        <w:tc>
          <w:tcPr>
            <w:tcW w:w="6762" w:type="dxa"/>
            <w:tcBorders>
              <w:top w:val="nil"/>
              <w:left w:val="nil"/>
              <w:bottom w:val="single" w:sz="4" w:space="0" w:color="auto"/>
              <w:right w:val="single" w:sz="4" w:space="0" w:color="auto"/>
            </w:tcBorders>
            <w:shd w:val="clear" w:color="auto" w:fill="auto"/>
            <w:hideMark/>
          </w:tcPr>
          <w:p w14:paraId="14309E6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839C1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3BF6D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17DBD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DE185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5902C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how well the audience reach and demographics of each platform align with the goals of the project on counting primes. Consider whether the platform's users are likely to be interested in supporting scientific research, mathematics projects, or educational initiatives.</w:t>
            </w:r>
          </w:p>
        </w:tc>
        <w:tc>
          <w:tcPr>
            <w:tcW w:w="2566" w:type="dxa"/>
            <w:tcBorders>
              <w:top w:val="nil"/>
              <w:left w:val="nil"/>
              <w:bottom w:val="single" w:sz="4" w:space="0" w:color="auto"/>
              <w:right w:val="single" w:sz="4" w:space="0" w:color="auto"/>
            </w:tcBorders>
            <w:shd w:val="clear" w:color="auto" w:fill="auto"/>
            <w:hideMark/>
          </w:tcPr>
          <w:p w14:paraId="6FCC2F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A547B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278A5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7D058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491EE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platforms where the user base has a strong affinity for STEM topics, a curiosity about scientific discoveries, and a willingness to contribute to projects that advance human knowledge and understanding.</w:t>
            </w:r>
          </w:p>
        </w:tc>
        <w:tc>
          <w:tcPr>
            <w:tcW w:w="2566" w:type="dxa"/>
            <w:tcBorders>
              <w:top w:val="nil"/>
              <w:left w:val="nil"/>
              <w:bottom w:val="single" w:sz="4" w:space="0" w:color="auto"/>
              <w:right w:val="single" w:sz="4" w:space="0" w:color="auto"/>
            </w:tcBorders>
            <w:shd w:val="clear" w:color="auto" w:fill="auto"/>
            <w:hideMark/>
          </w:tcPr>
          <w:p w14:paraId="3C3238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951D1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8BD2E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AC762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4F3D97C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8F560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D19B5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B8930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1F2CB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02ED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Famous examples of successful crowdfunding campaigns in scientific and mathematical fields can provide valuable insights into audience reach and demographics. Look for campaigns that have successfully raised funds for similar projects and analyze the platforms they used.</w:t>
            </w:r>
          </w:p>
        </w:tc>
        <w:tc>
          <w:tcPr>
            <w:tcW w:w="2566" w:type="dxa"/>
            <w:tcBorders>
              <w:top w:val="nil"/>
              <w:left w:val="nil"/>
              <w:bottom w:val="single" w:sz="4" w:space="0" w:color="auto"/>
              <w:right w:val="single" w:sz="4" w:space="0" w:color="auto"/>
            </w:tcBorders>
            <w:shd w:val="clear" w:color="auto" w:fill="auto"/>
            <w:hideMark/>
          </w:tcPr>
          <w:p w14:paraId="574FC8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3666E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64034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28878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E3190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For example, campaigns like the "Exploding Kittens" card game on Kickstarter and the "Pebble Time" smartwatch on Kickstarter demonstrate the potential for reaching large and diverse audiences through crowdfunding platforms.</w:t>
            </w:r>
          </w:p>
        </w:tc>
        <w:tc>
          <w:tcPr>
            <w:tcW w:w="2566" w:type="dxa"/>
            <w:tcBorders>
              <w:top w:val="nil"/>
              <w:left w:val="nil"/>
              <w:bottom w:val="single" w:sz="4" w:space="0" w:color="auto"/>
              <w:right w:val="single" w:sz="4" w:space="0" w:color="auto"/>
            </w:tcBorders>
            <w:shd w:val="clear" w:color="auto" w:fill="auto"/>
            <w:hideMark/>
          </w:tcPr>
          <w:p w14:paraId="644438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AFF2B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A1563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9F09C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3D469D7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912A7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C5F01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7FE8E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B822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083AF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specific types of audience segments that are likely to be interested in supporting a project on counting primes. This includes mathematics enthusiasts, educators, researchers, science and technology enthusiasts, cryptography professionals, entrepreneurs, and the general public.</w:t>
            </w:r>
          </w:p>
        </w:tc>
        <w:tc>
          <w:tcPr>
            <w:tcW w:w="2566" w:type="dxa"/>
            <w:tcBorders>
              <w:top w:val="nil"/>
              <w:left w:val="nil"/>
              <w:bottom w:val="single" w:sz="4" w:space="0" w:color="auto"/>
              <w:right w:val="single" w:sz="4" w:space="0" w:color="auto"/>
            </w:tcBorders>
            <w:shd w:val="clear" w:color="auto" w:fill="auto"/>
            <w:hideMark/>
          </w:tcPr>
          <w:p w14:paraId="20CBC8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97F59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8986E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D913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C41BF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Tailor the messaging and outreach strategies to resonate with each audience segment, highlighting the unique value proposition of the project and its potential impact on advancing mathematical knowledge, fostering scientific inquiry, and promoting STEM education and literacy.</w:t>
            </w:r>
          </w:p>
        </w:tc>
        <w:tc>
          <w:tcPr>
            <w:tcW w:w="2566" w:type="dxa"/>
            <w:tcBorders>
              <w:top w:val="nil"/>
              <w:left w:val="nil"/>
              <w:bottom w:val="single" w:sz="4" w:space="0" w:color="auto"/>
              <w:right w:val="single" w:sz="4" w:space="0" w:color="auto"/>
            </w:tcBorders>
            <w:shd w:val="clear" w:color="auto" w:fill="auto"/>
            <w:hideMark/>
          </w:tcPr>
          <w:p w14:paraId="3272E3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7DCE4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CB6A9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8EC4B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E1C8B2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130A4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ECCB7A" w14:textId="77777777" w:rsidTr="0041317E">
        <w:trPr>
          <w:trHeight w:val="3456"/>
        </w:trPr>
        <w:tc>
          <w:tcPr>
            <w:tcW w:w="1349" w:type="dxa"/>
            <w:tcBorders>
              <w:top w:val="nil"/>
              <w:left w:val="single" w:sz="4" w:space="0" w:color="auto"/>
              <w:bottom w:val="single" w:sz="4" w:space="0" w:color="auto"/>
              <w:right w:val="single" w:sz="4" w:space="0" w:color="auto"/>
            </w:tcBorders>
            <w:shd w:val="clear" w:color="auto" w:fill="auto"/>
            <w:hideMark/>
          </w:tcPr>
          <w:p w14:paraId="7E5EA7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105EC7D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Audience Reach and Demographics: </w:t>
            </w:r>
          </w:p>
        </w:tc>
        <w:tc>
          <w:tcPr>
            <w:tcW w:w="6762" w:type="dxa"/>
            <w:tcBorders>
              <w:top w:val="nil"/>
              <w:left w:val="nil"/>
              <w:bottom w:val="single" w:sz="4" w:space="0" w:color="auto"/>
              <w:right w:val="single" w:sz="4" w:space="0" w:color="auto"/>
            </w:tcBorders>
            <w:shd w:val="clear" w:color="auto" w:fill="auto"/>
            <w:hideMark/>
          </w:tcPr>
          <w:p w14:paraId="1F242DA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Evaluate the audience reach and demographics of each platform to identify which platforms attract individuals who are likely to be interested in supporting a scientific project on counting primes. Consider factors such as the platform's user base, community engagement, and existing projects in related fields.</w:t>
            </w:r>
          </w:p>
        </w:tc>
        <w:tc>
          <w:tcPr>
            <w:tcW w:w="2566" w:type="dxa"/>
            <w:tcBorders>
              <w:top w:val="nil"/>
              <w:left w:val="nil"/>
              <w:bottom w:val="single" w:sz="4" w:space="0" w:color="auto"/>
              <w:right w:val="single" w:sz="4" w:space="0" w:color="auto"/>
            </w:tcBorders>
            <w:shd w:val="clear" w:color="auto" w:fill="auto"/>
            <w:hideMark/>
          </w:tcPr>
          <w:p w14:paraId="49F78D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Can multiple platforms be used to crowdsource.  Different aspects of the project may compell different interests, perhaps a presale or stock purchase, or gratitude certificates.  To find a return on investment is key for all prospective investors of course.  Create a value for those that count the prime.</w:t>
            </w:r>
          </w:p>
        </w:tc>
      </w:tr>
      <w:tr w:rsidR="0041317E" w:rsidRPr="0041317E" w14:paraId="31178C9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F46E7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2D089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Can multiple platforms be used to crowdsource?</w:t>
            </w:r>
          </w:p>
        </w:tc>
        <w:tc>
          <w:tcPr>
            <w:tcW w:w="6762" w:type="dxa"/>
            <w:tcBorders>
              <w:top w:val="nil"/>
              <w:left w:val="nil"/>
              <w:bottom w:val="single" w:sz="4" w:space="0" w:color="auto"/>
              <w:right w:val="single" w:sz="4" w:space="0" w:color="auto"/>
            </w:tcBorders>
            <w:shd w:val="clear" w:color="auto" w:fill="auto"/>
            <w:hideMark/>
          </w:tcPr>
          <w:p w14:paraId="70AEC3D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B9C2A8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F25FF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F78CB0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11AD6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Diversifying Platform Usage:</w:t>
            </w:r>
          </w:p>
        </w:tc>
        <w:tc>
          <w:tcPr>
            <w:tcW w:w="6762" w:type="dxa"/>
            <w:tcBorders>
              <w:top w:val="nil"/>
              <w:left w:val="nil"/>
              <w:bottom w:val="single" w:sz="4" w:space="0" w:color="auto"/>
              <w:right w:val="single" w:sz="4" w:space="0" w:color="auto"/>
            </w:tcBorders>
            <w:shd w:val="clear" w:color="auto" w:fill="auto"/>
            <w:hideMark/>
          </w:tcPr>
          <w:p w14:paraId="293604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85AC2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B3DD4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95966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C1AE7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4EA52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Yes, utilizing multiple crowdfunding platforms can be an effective strategy to reach a broader audience and maximize exposure for the project on counting primes. Each platform offers unique features, audience demographics, and engagement levels, which can complement different aspects of the project.</w:t>
            </w:r>
          </w:p>
        </w:tc>
        <w:tc>
          <w:tcPr>
            <w:tcW w:w="2566" w:type="dxa"/>
            <w:tcBorders>
              <w:top w:val="nil"/>
              <w:left w:val="nil"/>
              <w:bottom w:val="single" w:sz="4" w:space="0" w:color="auto"/>
              <w:right w:val="single" w:sz="4" w:space="0" w:color="auto"/>
            </w:tcBorders>
            <w:shd w:val="clear" w:color="auto" w:fill="auto"/>
            <w:hideMark/>
          </w:tcPr>
          <w:p w14:paraId="2E22C387"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42DE567A" w14:textId="77777777" w:rsidTr="0041317E">
        <w:trPr>
          <w:trHeight w:val="354"/>
        </w:trPr>
        <w:tc>
          <w:tcPr>
            <w:tcW w:w="1349" w:type="dxa"/>
            <w:tcBorders>
              <w:top w:val="nil"/>
              <w:left w:val="single" w:sz="4" w:space="0" w:color="auto"/>
              <w:bottom w:val="single" w:sz="4" w:space="0" w:color="auto"/>
              <w:right w:val="single" w:sz="4" w:space="0" w:color="auto"/>
            </w:tcBorders>
            <w:shd w:val="clear" w:color="auto" w:fill="auto"/>
            <w:hideMark/>
          </w:tcPr>
          <w:p w14:paraId="3D3C87F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39F2A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Tailoring Approach to Platform Features:</w:t>
            </w:r>
          </w:p>
        </w:tc>
        <w:tc>
          <w:tcPr>
            <w:tcW w:w="6762" w:type="dxa"/>
            <w:tcBorders>
              <w:top w:val="nil"/>
              <w:left w:val="nil"/>
              <w:bottom w:val="single" w:sz="4" w:space="0" w:color="auto"/>
              <w:right w:val="single" w:sz="4" w:space="0" w:color="auto"/>
            </w:tcBorders>
            <w:shd w:val="clear" w:color="auto" w:fill="auto"/>
            <w:hideMark/>
          </w:tcPr>
          <w:p w14:paraId="081E4F7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DDBC3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69C45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6A8533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8C8CF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07C2F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Different platforms cater to diverse project types and fundraising goals. Kickstarter, for instance, is known for creative projects and product launches, while Indiegogo offers flexible funding options. Experiment.com and PetriDish.org specifically target scientific research projects.</w:t>
            </w:r>
          </w:p>
        </w:tc>
        <w:tc>
          <w:tcPr>
            <w:tcW w:w="2566" w:type="dxa"/>
            <w:tcBorders>
              <w:top w:val="nil"/>
              <w:left w:val="nil"/>
              <w:bottom w:val="single" w:sz="4" w:space="0" w:color="auto"/>
              <w:right w:val="single" w:sz="4" w:space="0" w:color="auto"/>
            </w:tcBorders>
            <w:shd w:val="clear" w:color="auto" w:fill="auto"/>
            <w:hideMark/>
          </w:tcPr>
          <w:p w14:paraId="55CFF152"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6D6A525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59DE0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ACE1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754DC1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leveraging the strengths of each platform, you can tailor your approach to match the specific features and audience preferences. For instance, offering presale perks or stock purchase options may resonate more with backers on one platform, while gratitude certificates or exclusive access to project updates may appeal to backers on another.</w:t>
            </w:r>
          </w:p>
        </w:tc>
        <w:tc>
          <w:tcPr>
            <w:tcW w:w="2566" w:type="dxa"/>
            <w:tcBorders>
              <w:top w:val="nil"/>
              <w:left w:val="nil"/>
              <w:bottom w:val="single" w:sz="4" w:space="0" w:color="auto"/>
              <w:right w:val="single" w:sz="4" w:space="0" w:color="auto"/>
            </w:tcBorders>
            <w:shd w:val="clear" w:color="auto" w:fill="auto"/>
            <w:hideMark/>
          </w:tcPr>
          <w:p w14:paraId="7D8B8B42"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4FA0BFA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2E4EAA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0A106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Understanding Audience Demographics:</w:t>
            </w:r>
          </w:p>
        </w:tc>
        <w:tc>
          <w:tcPr>
            <w:tcW w:w="6762" w:type="dxa"/>
            <w:tcBorders>
              <w:top w:val="nil"/>
              <w:left w:val="nil"/>
              <w:bottom w:val="single" w:sz="4" w:space="0" w:color="auto"/>
              <w:right w:val="single" w:sz="4" w:space="0" w:color="auto"/>
            </w:tcBorders>
            <w:shd w:val="clear" w:color="auto" w:fill="auto"/>
            <w:hideMark/>
          </w:tcPr>
          <w:p w14:paraId="7424518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05889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1429F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4E5720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54B39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Platform User Base:</w:t>
            </w:r>
          </w:p>
        </w:tc>
        <w:tc>
          <w:tcPr>
            <w:tcW w:w="6762" w:type="dxa"/>
            <w:tcBorders>
              <w:top w:val="nil"/>
              <w:left w:val="nil"/>
              <w:bottom w:val="single" w:sz="4" w:space="0" w:color="auto"/>
              <w:right w:val="single" w:sz="4" w:space="0" w:color="auto"/>
            </w:tcBorders>
            <w:shd w:val="clear" w:color="auto" w:fill="auto"/>
            <w:hideMark/>
          </w:tcPr>
          <w:p w14:paraId="397A660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A9AB0F"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086A7E6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79B394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F05F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9A4E5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user base of each platform to understand its demographic composition. Kickstarter and Indiegogo attract a diverse range of users, including tech enthusiasts, creative professionals, and early adopters. Experiment.com and PetriDish.org focus on a more specialized audience interested in supporting scientific research.</w:t>
            </w:r>
          </w:p>
        </w:tc>
        <w:tc>
          <w:tcPr>
            <w:tcW w:w="2566" w:type="dxa"/>
            <w:tcBorders>
              <w:top w:val="nil"/>
              <w:left w:val="nil"/>
              <w:bottom w:val="single" w:sz="4" w:space="0" w:color="auto"/>
              <w:right w:val="single" w:sz="4" w:space="0" w:color="auto"/>
            </w:tcBorders>
            <w:shd w:val="clear" w:color="auto" w:fill="auto"/>
            <w:hideMark/>
          </w:tcPr>
          <w:p w14:paraId="22BB59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43A0E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87F49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459D2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AB27A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Analyze demographic data provided by the platforms, such as age, gender, location, and interests, to identify which platforms align best with the target audience for the project on counting primes.</w:t>
            </w:r>
          </w:p>
        </w:tc>
        <w:tc>
          <w:tcPr>
            <w:tcW w:w="2566" w:type="dxa"/>
            <w:tcBorders>
              <w:top w:val="nil"/>
              <w:left w:val="nil"/>
              <w:bottom w:val="single" w:sz="4" w:space="0" w:color="auto"/>
              <w:right w:val="single" w:sz="4" w:space="0" w:color="auto"/>
            </w:tcBorders>
            <w:shd w:val="clear" w:color="auto" w:fill="auto"/>
            <w:hideMark/>
          </w:tcPr>
          <w:p w14:paraId="7C1D11DF"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07C8D2C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780B8B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3B864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Community Engagement:</w:t>
            </w:r>
          </w:p>
        </w:tc>
        <w:tc>
          <w:tcPr>
            <w:tcW w:w="6762" w:type="dxa"/>
            <w:tcBorders>
              <w:top w:val="nil"/>
              <w:left w:val="nil"/>
              <w:bottom w:val="single" w:sz="4" w:space="0" w:color="auto"/>
              <w:right w:val="single" w:sz="4" w:space="0" w:color="auto"/>
            </w:tcBorders>
            <w:shd w:val="clear" w:color="auto" w:fill="auto"/>
            <w:hideMark/>
          </w:tcPr>
          <w:p w14:paraId="269A052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C4F3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1DF34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E4A68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A9BBA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919D8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the level of community engagement on each platform, including the frequency of interactions, participation in discussions, and sharing of projects. Platforms with highly engaged communities may offer greater visibility and support for the project.</w:t>
            </w:r>
          </w:p>
        </w:tc>
        <w:tc>
          <w:tcPr>
            <w:tcW w:w="2566" w:type="dxa"/>
            <w:tcBorders>
              <w:top w:val="nil"/>
              <w:left w:val="nil"/>
              <w:bottom w:val="single" w:sz="4" w:space="0" w:color="auto"/>
              <w:right w:val="single" w:sz="4" w:space="0" w:color="auto"/>
            </w:tcBorders>
            <w:shd w:val="clear" w:color="auto" w:fill="auto"/>
            <w:hideMark/>
          </w:tcPr>
          <w:p w14:paraId="4E565C40"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743DE39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20A66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148E9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AE411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platforms where users actively participate in crowdfunding campaigns, provide feedback to project creators, and share projects with their networks. This can help amplify the project's reach and attract more backers.</w:t>
            </w:r>
          </w:p>
        </w:tc>
        <w:tc>
          <w:tcPr>
            <w:tcW w:w="2566" w:type="dxa"/>
            <w:tcBorders>
              <w:top w:val="nil"/>
              <w:left w:val="nil"/>
              <w:bottom w:val="single" w:sz="4" w:space="0" w:color="auto"/>
              <w:right w:val="single" w:sz="4" w:space="0" w:color="auto"/>
            </w:tcBorders>
            <w:shd w:val="clear" w:color="auto" w:fill="auto"/>
            <w:hideMark/>
          </w:tcPr>
          <w:p w14:paraId="3F0314B3"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0113084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5517D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3D5A9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Existing Projects in Related Fields:</w:t>
            </w:r>
          </w:p>
        </w:tc>
        <w:tc>
          <w:tcPr>
            <w:tcW w:w="6762" w:type="dxa"/>
            <w:tcBorders>
              <w:top w:val="nil"/>
              <w:left w:val="nil"/>
              <w:bottom w:val="single" w:sz="4" w:space="0" w:color="auto"/>
              <w:right w:val="single" w:sz="4" w:space="0" w:color="auto"/>
            </w:tcBorders>
            <w:shd w:val="clear" w:color="auto" w:fill="auto"/>
            <w:hideMark/>
          </w:tcPr>
          <w:p w14:paraId="26C9CBE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6A0C7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6F74D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231E9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E9252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E42797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Research existing projects on each platform, particularly those in related fields such as mathematics, science, and education. Analyze the success rates, funding goals, and funding amounts of relevant projects to gauge the platform's suitability for hosting a crowdfunding campaign for a project on counting primes.</w:t>
            </w:r>
          </w:p>
        </w:tc>
        <w:tc>
          <w:tcPr>
            <w:tcW w:w="2566" w:type="dxa"/>
            <w:tcBorders>
              <w:top w:val="nil"/>
              <w:left w:val="nil"/>
              <w:bottom w:val="single" w:sz="4" w:space="0" w:color="auto"/>
              <w:right w:val="single" w:sz="4" w:space="0" w:color="auto"/>
            </w:tcBorders>
            <w:shd w:val="clear" w:color="auto" w:fill="auto"/>
            <w:hideMark/>
          </w:tcPr>
          <w:p w14:paraId="2739DA11"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0BFA5DC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BE37F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A9DD5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9E447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platforms where similar projects have been successfully funded and where there is a demonstrated interest and support for scientific research and educational initiatives.</w:t>
            </w:r>
          </w:p>
        </w:tc>
        <w:tc>
          <w:tcPr>
            <w:tcW w:w="2566" w:type="dxa"/>
            <w:tcBorders>
              <w:top w:val="nil"/>
              <w:left w:val="nil"/>
              <w:bottom w:val="single" w:sz="4" w:space="0" w:color="auto"/>
              <w:right w:val="single" w:sz="4" w:space="0" w:color="auto"/>
            </w:tcBorders>
            <w:shd w:val="clear" w:color="auto" w:fill="auto"/>
            <w:hideMark/>
          </w:tcPr>
          <w:p w14:paraId="4EB4DFCB"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365F5D6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EECEF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AF57B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1BC47FE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C6C00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A7136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38EE2E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A3916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D0D31C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famous examples of successful crowdfunding campaigns in scientific and mathematical fields to gain insights into audience reach and demographics. Projects like the "Exploding Kittens" card game on Kickstarter and the "Pebble Time" smartwatch on Kickstarter demonstrate the potential for reaching large and diverse audiences through crowdfunding platforms.</w:t>
            </w:r>
          </w:p>
        </w:tc>
        <w:tc>
          <w:tcPr>
            <w:tcW w:w="2566" w:type="dxa"/>
            <w:tcBorders>
              <w:top w:val="nil"/>
              <w:left w:val="nil"/>
              <w:bottom w:val="single" w:sz="4" w:space="0" w:color="auto"/>
              <w:right w:val="single" w:sz="4" w:space="0" w:color="auto"/>
            </w:tcBorders>
            <w:shd w:val="clear" w:color="auto" w:fill="auto"/>
            <w:hideMark/>
          </w:tcPr>
          <w:p w14:paraId="2E3C26BE"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0386A27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89F273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B10F1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9C236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Analyze the strategies used by these campaigns to engage backers, communicate their value proposition, and achieve their fundraising goals. This can inform your approach to selecting and using multiple platforms for the project on counting primes.</w:t>
            </w:r>
          </w:p>
        </w:tc>
        <w:tc>
          <w:tcPr>
            <w:tcW w:w="2566" w:type="dxa"/>
            <w:tcBorders>
              <w:top w:val="nil"/>
              <w:left w:val="nil"/>
              <w:bottom w:val="single" w:sz="4" w:space="0" w:color="auto"/>
              <w:right w:val="single" w:sz="4" w:space="0" w:color="auto"/>
            </w:tcBorders>
            <w:shd w:val="clear" w:color="auto" w:fill="auto"/>
            <w:hideMark/>
          </w:tcPr>
          <w:p w14:paraId="14079FB5"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2781D74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F12B20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447C6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Detailed Types of Audience:</w:t>
            </w:r>
          </w:p>
        </w:tc>
        <w:tc>
          <w:tcPr>
            <w:tcW w:w="6762" w:type="dxa"/>
            <w:tcBorders>
              <w:top w:val="nil"/>
              <w:left w:val="nil"/>
              <w:bottom w:val="single" w:sz="4" w:space="0" w:color="auto"/>
              <w:right w:val="single" w:sz="4" w:space="0" w:color="auto"/>
            </w:tcBorders>
            <w:shd w:val="clear" w:color="auto" w:fill="auto"/>
            <w:hideMark/>
          </w:tcPr>
          <w:p w14:paraId="3D6453C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CEFD3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3F563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B2B67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1E1F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BB2FF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specific types of audience segments that are likely to be interested in supporting a scientific project on counting primes. This includes mathematics enthusiasts, educators, researchers, science and technology enthusiasts, cryptography professionals, entrepreneurs, and the general public.</w:t>
            </w:r>
          </w:p>
        </w:tc>
        <w:tc>
          <w:tcPr>
            <w:tcW w:w="2566" w:type="dxa"/>
            <w:tcBorders>
              <w:top w:val="nil"/>
              <w:left w:val="nil"/>
              <w:bottom w:val="single" w:sz="4" w:space="0" w:color="auto"/>
              <w:right w:val="single" w:sz="4" w:space="0" w:color="auto"/>
            </w:tcBorders>
            <w:shd w:val="clear" w:color="auto" w:fill="auto"/>
            <w:hideMark/>
          </w:tcPr>
          <w:p w14:paraId="312B2BE2"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5EF11AD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8DA6E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CE9A3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FE145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Tailor your messaging and outreach strategies to resonate with each audience segment, highlighting the unique value proposition of the project and its potential impact on advancing mathematical knowledge, fostering scientific inquiry, and promoting STEM education and literacy. Offering different incentives and rewards can also appeal to the varied interests and motivations of potential backers across multiple platforms.</w:t>
            </w:r>
          </w:p>
        </w:tc>
        <w:tc>
          <w:tcPr>
            <w:tcW w:w="2566" w:type="dxa"/>
            <w:tcBorders>
              <w:top w:val="nil"/>
              <w:left w:val="nil"/>
              <w:bottom w:val="single" w:sz="4" w:space="0" w:color="auto"/>
              <w:right w:val="single" w:sz="4" w:space="0" w:color="auto"/>
            </w:tcBorders>
            <w:shd w:val="clear" w:color="auto" w:fill="auto"/>
            <w:hideMark/>
          </w:tcPr>
          <w:p w14:paraId="5C5FB6B5" w14:textId="77777777" w:rsidR="0041317E" w:rsidRPr="0041317E" w:rsidRDefault="0041317E" w:rsidP="0041317E">
            <w:pPr>
              <w:spacing w:after="0" w:line="240" w:lineRule="auto"/>
              <w:rPr>
                <w:rFonts w:ascii="Calibri Light" w:eastAsia="Times New Roman" w:hAnsi="Calibri Light" w:cs="Calibri Light"/>
                <w:i/>
                <w:iCs/>
                <w:color w:val="0D0D0D"/>
                <w:kern w:val="0"/>
                <w14:ligatures w14:val="none"/>
              </w:rPr>
            </w:pPr>
            <w:r w:rsidRPr="0041317E">
              <w:rPr>
                <w:rFonts w:ascii="Calibri Light" w:eastAsia="Times New Roman" w:hAnsi="Calibri Light" w:cs="Calibri Light"/>
                <w:i/>
                <w:iCs/>
                <w:color w:val="0D0D0D"/>
                <w:kern w:val="0"/>
                <w14:ligatures w14:val="none"/>
              </w:rPr>
              <w:t> </w:t>
            </w:r>
          </w:p>
        </w:tc>
      </w:tr>
      <w:tr w:rsidR="0041317E" w:rsidRPr="0041317E" w14:paraId="1A62899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29E8E5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C7148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B6AEA4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AAE6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DFF399" w14:textId="77777777" w:rsidTr="0041317E">
        <w:trPr>
          <w:trHeight w:val="3456"/>
        </w:trPr>
        <w:tc>
          <w:tcPr>
            <w:tcW w:w="1349" w:type="dxa"/>
            <w:tcBorders>
              <w:top w:val="nil"/>
              <w:left w:val="single" w:sz="4" w:space="0" w:color="auto"/>
              <w:bottom w:val="single" w:sz="4" w:space="0" w:color="auto"/>
              <w:right w:val="single" w:sz="4" w:space="0" w:color="auto"/>
            </w:tcBorders>
            <w:shd w:val="clear" w:color="auto" w:fill="auto"/>
            <w:hideMark/>
          </w:tcPr>
          <w:p w14:paraId="514486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4CED60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Project Categories and Guidelines: </w:t>
            </w:r>
          </w:p>
        </w:tc>
        <w:tc>
          <w:tcPr>
            <w:tcW w:w="6762" w:type="dxa"/>
            <w:tcBorders>
              <w:top w:val="nil"/>
              <w:left w:val="nil"/>
              <w:bottom w:val="single" w:sz="4" w:space="0" w:color="auto"/>
              <w:right w:val="single" w:sz="4" w:space="0" w:color="auto"/>
            </w:tcBorders>
            <w:shd w:val="clear" w:color="auto" w:fill="auto"/>
            <w:hideMark/>
          </w:tcPr>
          <w:p w14:paraId="49A64BB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Review the project categories and guidelines of each platform to ensure that your project fits within their scope and eligibility criteria. Choose a platform that offers categories or subcategories relevant to scientific research, mathematics, or technology, where your project is likely to stand out and attract attention.</w:t>
            </w:r>
          </w:p>
        </w:tc>
        <w:tc>
          <w:tcPr>
            <w:tcW w:w="2566" w:type="dxa"/>
            <w:tcBorders>
              <w:top w:val="nil"/>
              <w:left w:val="nil"/>
              <w:bottom w:val="single" w:sz="4" w:space="0" w:color="auto"/>
              <w:right w:val="single" w:sz="4" w:space="0" w:color="auto"/>
            </w:tcBorders>
            <w:shd w:val="clear" w:color="auto" w:fill="auto"/>
            <w:hideMark/>
          </w:tcPr>
          <w:p w14:paraId="0BB2B5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Can one platform be used for PrimeBookOne and another platform for Antikytherian PrimeBookTools.  A platform that builds towards a committee run organization PrimeBookOne and a business run organization Antikytherian with the product PrimeBookTools.</w:t>
            </w:r>
          </w:p>
        </w:tc>
      </w:tr>
      <w:tr w:rsidR="0041317E" w:rsidRPr="0041317E" w14:paraId="242F405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79119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9AE31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Different Platforms for Different Purposes:</w:t>
            </w:r>
          </w:p>
        </w:tc>
        <w:tc>
          <w:tcPr>
            <w:tcW w:w="6762" w:type="dxa"/>
            <w:tcBorders>
              <w:top w:val="nil"/>
              <w:left w:val="nil"/>
              <w:bottom w:val="single" w:sz="4" w:space="0" w:color="auto"/>
              <w:right w:val="single" w:sz="4" w:space="0" w:color="auto"/>
            </w:tcBorders>
            <w:shd w:val="clear" w:color="auto" w:fill="auto"/>
            <w:hideMark/>
          </w:tcPr>
          <w:p w14:paraId="0507E4F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E6D2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83B42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3C39B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38086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PrimeBookOne and Antikytherian PrimeBookTools:</w:t>
            </w:r>
          </w:p>
        </w:tc>
        <w:tc>
          <w:tcPr>
            <w:tcW w:w="6762" w:type="dxa"/>
            <w:tcBorders>
              <w:top w:val="nil"/>
              <w:left w:val="nil"/>
              <w:bottom w:val="single" w:sz="4" w:space="0" w:color="auto"/>
              <w:right w:val="single" w:sz="4" w:space="0" w:color="auto"/>
            </w:tcBorders>
            <w:shd w:val="clear" w:color="auto" w:fill="auto"/>
            <w:hideMark/>
          </w:tcPr>
          <w:p w14:paraId="7AA8097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B814D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9205E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9A2EB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21068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034B1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Yes, utilizing different crowdfunding platforms for PrimeBookOne and Antikytherian PrimeBookTools can be a strategic approach to tailor the fundraising campaigns to the specific objectives and target audiences of each project.</w:t>
            </w:r>
          </w:p>
        </w:tc>
        <w:tc>
          <w:tcPr>
            <w:tcW w:w="2566" w:type="dxa"/>
            <w:tcBorders>
              <w:top w:val="nil"/>
              <w:left w:val="nil"/>
              <w:bottom w:val="single" w:sz="4" w:space="0" w:color="auto"/>
              <w:right w:val="single" w:sz="4" w:space="0" w:color="auto"/>
            </w:tcBorders>
            <w:shd w:val="clear" w:color="auto" w:fill="auto"/>
            <w:hideMark/>
          </w:tcPr>
          <w:p w14:paraId="3964B5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6E973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7F90B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39B5F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9058CA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being a project focused on community-driven prime number research and development, may benefit from a platform that emphasizes collaborative and interdisciplinary scientific projects, such as Experiment.com or PetriDish.org.</w:t>
            </w:r>
          </w:p>
        </w:tc>
        <w:tc>
          <w:tcPr>
            <w:tcW w:w="2566" w:type="dxa"/>
            <w:tcBorders>
              <w:top w:val="nil"/>
              <w:left w:val="nil"/>
              <w:bottom w:val="single" w:sz="4" w:space="0" w:color="auto"/>
              <w:right w:val="single" w:sz="4" w:space="0" w:color="auto"/>
            </w:tcBorders>
            <w:shd w:val="clear" w:color="auto" w:fill="auto"/>
            <w:hideMark/>
          </w:tcPr>
          <w:p w14:paraId="24F0F1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926E4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FACFF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C4C4D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C0783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On the other hand, Antikytherian PrimeBookTools, being a software development venture aimed at commercializing prime number algorithms and tools, may be better suited for a platform like Kickstarter or Indiegogo, which cater to technology startups and product launches.</w:t>
            </w:r>
          </w:p>
        </w:tc>
        <w:tc>
          <w:tcPr>
            <w:tcW w:w="2566" w:type="dxa"/>
            <w:tcBorders>
              <w:top w:val="nil"/>
              <w:left w:val="nil"/>
              <w:bottom w:val="single" w:sz="4" w:space="0" w:color="auto"/>
              <w:right w:val="single" w:sz="4" w:space="0" w:color="auto"/>
            </w:tcBorders>
            <w:shd w:val="clear" w:color="auto" w:fill="auto"/>
            <w:hideMark/>
          </w:tcPr>
          <w:p w14:paraId="17D0EF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8B57F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D9CB5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DEE84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Project Categories and Guidelines:</w:t>
            </w:r>
          </w:p>
        </w:tc>
        <w:tc>
          <w:tcPr>
            <w:tcW w:w="6762" w:type="dxa"/>
            <w:tcBorders>
              <w:top w:val="nil"/>
              <w:left w:val="nil"/>
              <w:bottom w:val="single" w:sz="4" w:space="0" w:color="auto"/>
              <w:right w:val="single" w:sz="4" w:space="0" w:color="auto"/>
            </w:tcBorders>
            <w:shd w:val="clear" w:color="auto" w:fill="auto"/>
            <w:hideMark/>
          </w:tcPr>
          <w:p w14:paraId="45817B0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358AA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95A5B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BBA9DC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44EA7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Alignment with Platform Categories:</w:t>
            </w:r>
          </w:p>
        </w:tc>
        <w:tc>
          <w:tcPr>
            <w:tcW w:w="6762" w:type="dxa"/>
            <w:tcBorders>
              <w:top w:val="nil"/>
              <w:left w:val="nil"/>
              <w:bottom w:val="single" w:sz="4" w:space="0" w:color="auto"/>
              <w:right w:val="single" w:sz="4" w:space="0" w:color="auto"/>
            </w:tcBorders>
            <w:shd w:val="clear" w:color="auto" w:fill="auto"/>
            <w:hideMark/>
          </w:tcPr>
          <w:p w14:paraId="4BE2952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815B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5DD8E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F047C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37C48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7BC53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Review the project categories and guidelines of each platform to ensure that they align with the nature and objectives of PrimeBookOne and Antikytherian PrimeBookTools. Look for platforms that offer categories or subcategories relevant to scientific research, mathematics, technology, or software development.</w:t>
            </w:r>
          </w:p>
        </w:tc>
        <w:tc>
          <w:tcPr>
            <w:tcW w:w="2566" w:type="dxa"/>
            <w:tcBorders>
              <w:top w:val="nil"/>
              <w:left w:val="nil"/>
              <w:bottom w:val="single" w:sz="4" w:space="0" w:color="auto"/>
              <w:right w:val="single" w:sz="4" w:space="0" w:color="auto"/>
            </w:tcBorders>
            <w:shd w:val="clear" w:color="auto" w:fill="auto"/>
            <w:hideMark/>
          </w:tcPr>
          <w:p w14:paraId="2F48A1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B0391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B57F86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E16E5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B53FC2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Experiment.com and PetriDish.org, for instance, may have specific categories for mathematics, computer science, or scientific research projects, which could provide a suitable platform for PrimeBookOne's crowdfunding campaign.</w:t>
            </w:r>
          </w:p>
        </w:tc>
        <w:tc>
          <w:tcPr>
            <w:tcW w:w="2566" w:type="dxa"/>
            <w:tcBorders>
              <w:top w:val="nil"/>
              <w:left w:val="nil"/>
              <w:bottom w:val="single" w:sz="4" w:space="0" w:color="auto"/>
              <w:right w:val="single" w:sz="4" w:space="0" w:color="auto"/>
            </w:tcBorders>
            <w:shd w:val="clear" w:color="auto" w:fill="auto"/>
            <w:hideMark/>
          </w:tcPr>
          <w:p w14:paraId="5FFDC66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2C7C5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48B67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079C9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60E302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Kickstarter and Indiegogo, on the other hand, offer broader categories such as technology, innovation, or software, which could accommodate Antikytherian PrimeBookTools' campaign for developing and marketing prime number algorithms and tools.</w:t>
            </w:r>
          </w:p>
        </w:tc>
        <w:tc>
          <w:tcPr>
            <w:tcW w:w="2566" w:type="dxa"/>
            <w:tcBorders>
              <w:top w:val="nil"/>
              <w:left w:val="nil"/>
              <w:bottom w:val="single" w:sz="4" w:space="0" w:color="auto"/>
              <w:right w:val="single" w:sz="4" w:space="0" w:color="auto"/>
            </w:tcBorders>
            <w:shd w:val="clear" w:color="auto" w:fill="auto"/>
            <w:hideMark/>
          </w:tcPr>
          <w:p w14:paraId="195B35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AAF2F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4AB51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74B00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Eligibility Criteria:</w:t>
            </w:r>
          </w:p>
        </w:tc>
        <w:tc>
          <w:tcPr>
            <w:tcW w:w="6762" w:type="dxa"/>
            <w:tcBorders>
              <w:top w:val="nil"/>
              <w:left w:val="nil"/>
              <w:bottom w:val="single" w:sz="4" w:space="0" w:color="auto"/>
              <w:right w:val="single" w:sz="4" w:space="0" w:color="auto"/>
            </w:tcBorders>
            <w:shd w:val="clear" w:color="auto" w:fill="auto"/>
            <w:hideMark/>
          </w:tcPr>
          <w:p w14:paraId="5691A59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C8AF3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32448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E3907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E2157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85F41A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both projects meet the eligibility criteria of the chosen crowdfunding platforms. This may include requirements related to project ownership, fundraising goals, rewards fulfillment, and compliance with platform policies.</w:t>
            </w:r>
          </w:p>
        </w:tc>
        <w:tc>
          <w:tcPr>
            <w:tcW w:w="2566" w:type="dxa"/>
            <w:tcBorders>
              <w:top w:val="nil"/>
              <w:left w:val="nil"/>
              <w:bottom w:val="single" w:sz="4" w:space="0" w:color="auto"/>
              <w:right w:val="single" w:sz="4" w:space="0" w:color="auto"/>
            </w:tcBorders>
            <w:shd w:val="clear" w:color="auto" w:fill="auto"/>
            <w:hideMark/>
          </w:tcPr>
          <w:p w14:paraId="1965F3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CC0D0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E7AE9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63390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8FE80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Verify whether the platforms allow projects to raise funds for scientific research, software development, or commercial ventures, and whether there are any restrictions on the types of projects or activities that can be funded.</w:t>
            </w:r>
          </w:p>
        </w:tc>
        <w:tc>
          <w:tcPr>
            <w:tcW w:w="2566" w:type="dxa"/>
            <w:tcBorders>
              <w:top w:val="nil"/>
              <w:left w:val="nil"/>
              <w:bottom w:val="single" w:sz="4" w:space="0" w:color="auto"/>
              <w:right w:val="single" w:sz="4" w:space="0" w:color="auto"/>
            </w:tcBorders>
            <w:shd w:val="clear" w:color="auto" w:fill="auto"/>
            <w:hideMark/>
          </w:tcPr>
          <w:p w14:paraId="2CC56B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B571C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B1D33D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59A41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Audience Segmentation:</w:t>
            </w:r>
          </w:p>
        </w:tc>
        <w:tc>
          <w:tcPr>
            <w:tcW w:w="6762" w:type="dxa"/>
            <w:tcBorders>
              <w:top w:val="nil"/>
              <w:left w:val="nil"/>
              <w:bottom w:val="single" w:sz="4" w:space="0" w:color="auto"/>
              <w:right w:val="single" w:sz="4" w:space="0" w:color="auto"/>
            </w:tcBorders>
            <w:shd w:val="clear" w:color="auto" w:fill="auto"/>
            <w:hideMark/>
          </w:tcPr>
          <w:p w14:paraId="7BF8743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58F8A3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B3E44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1DA18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E194A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11EF5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audience segmentation and demographics of each platform to determine which one is likely to attract individuals interested in supporting scientific research, mathematics, technology, or software development projects.</w:t>
            </w:r>
          </w:p>
        </w:tc>
        <w:tc>
          <w:tcPr>
            <w:tcW w:w="2566" w:type="dxa"/>
            <w:tcBorders>
              <w:top w:val="nil"/>
              <w:left w:val="nil"/>
              <w:bottom w:val="single" w:sz="4" w:space="0" w:color="auto"/>
              <w:right w:val="single" w:sz="4" w:space="0" w:color="auto"/>
            </w:tcBorders>
            <w:shd w:val="clear" w:color="auto" w:fill="auto"/>
            <w:hideMark/>
          </w:tcPr>
          <w:p w14:paraId="0616C5E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CF4C7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A4A113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839AD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1D7E97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Experiment.com and PetriDish.org may appeal to a more specialized audience of scientists, researchers, and science enthusiasts, while Kickstarter and Indiegogo may have a broader user base that includes technology enthusiasts, early adopters, and entrepreneurs.</w:t>
            </w:r>
          </w:p>
        </w:tc>
        <w:tc>
          <w:tcPr>
            <w:tcW w:w="2566" w:type="dxa"/>
            <w:tcBorders>
              <w:top w:val="nil"/>
              <w:left w:val="nil"/>
              <w:bottom w:val="single" w:sz="4" w:space="0" w:color="auto"/>
              <w:right w:val="single" w:sz="4" w:space="0" w:color="auto"/>
            </w:tcBorders>
            <w:shd w:val="clear" w:color="auto" w:fill="auto"/>
            <w:hideMark/>
          </w:tcPr>
          <w:p w14:paraId="13257A3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CF903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EB5C7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BCEC0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Famous Examples:</w:t>
            </w:r>
          </w:p>
        </w:tc>
        <w:tc>
          <w:tcPr>
            <w:tcW w:w="6762" w:type="dxa"/>
            <w:tcBorders>
              <w:top w:val="nil"/>
              <w:left w:val="nil"/>
              <w:bottom w:val="single" w:sz="4" w:space="0" w:color="auto"/>
              <w:right w:val="single" w:sz="4" w:space="0" w:color="auto"/>
            </w:tcBorders>
            <w:shd w:val="clear" w:color="auto" w:fill="auto"/>
            <w:hideMark/>
          </w:tcPr>
          <w:p w14:paraId="40B7123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A42D4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6266A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DB316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02ACC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2AA753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famous examples of successful crowdfunding campaigns in similar project categories or fields to gain insights into platform selection. Analyze the strategies used by these campaigns to engage backers, communicate their value proposition, and achieve their fundraising goals.</w:t>
            </w:r>
          </w:p>
        </w:tc>
        <w:tc>
          <w:tcPr>
            <w:tcW w:w="2566" w:type="dxa"/>
            <w:tcBorders>
              <w:top w:val="nil"/>
              <w:left w:val="nil"/>
              <w:bottom w:val="single" w:sz="4" w:space="0" w:color="auto"/>
              <w:right w:val="single" w:sz="4" w:space="0" w:color="auto"/>
            </w:tcBorders>
            <w:shd w:val="clear" w:color="auto" w:fill="auto"/>
            <w:hideMark/>
          </w:tcPr>
          <w:p w14:paraId="205F26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23E9D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30970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1CC34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67CF7E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whether any successful campaigns in mathematics, scientific research, or software development have been hosted on the chosen platforms, and whether they have garnered significant attention and support from the crowdfunding community.</w:t>
            </w:r>
          </w:p>
        </w:tc>
        <w:tc>
          <w:tcPr>
            <w:tcW w:w="2566" w:type="dxa"/>
            <w:tcBorders>
              <w:top w:val="nil"/>
              <w:left w:val="nil"/>
              <w:bottom w:val="single" w:sz="4" w:space="0" w:color="auto"/>
              <w:right w:val="single" w:sz="4" w:space="0" w:color="auto"/>
            </w:tcBorders>
            <w:shd w:val="clear" w:color="auto" w:fill="auto"/>
            <w:hideMark/>
          </w:tcPr>
          <w:p w14:paraId="133F22B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FA4C5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4CE1C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2BBE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27A3F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2CAE6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8B2B7F" w14:textId="77777777" w:rsidTr="0041317E">
        <w:trPr>
          <w:trHeight w:val="3744"/>
        </w:trPr>
        <w:tc>
          <w:tcPr>
            <w:tcW w:w="1349" w:type="dxa"/>
            <w:tcBorders>
              <w:top w:val="nil"/>
              <w:left w:val="single" w:sz="4" w:space="0" w:color="auto"/>
              <w:bottom w:val="single" w:sz="4" w:space="0" w:color="auto"/>
              <w:right w:val="single" w:sz="4" w:space="0" w:color="auto"/>
            </w:tcBorders>
            <w:shd w:val="clear" w:color="auto" w:fill="auto"/>
            <w:hideMark/>
          </w:tcPr>
          <w:p w14:paraId="294F7F2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69CD8AA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Success Stories and Case Studies: </w:t>
            </w:r>
          </w:p>
        </w:tc>
        <w:tc>
          <w:tcPr>
            <w:tcW w:w="6762" w:type="dxa"/>
            <w:tcBorders>
              <w:top w:val="nil"/>
              <w:left w:val="nil"/>
              <w:bottom w:val="single" w:sz="4" w:space="0" w:color="auto"/>
              <w:right w:val="single" w:sz="4" w:space="0" w:color="auto"/>
            </w:tcBorders>
            <w:shd w:val="clear" w:color="auto" w:fill="auto"/>
            <w:hideMark/>
          </w:tcPr>
          <w:p w14:paraId="0D4DFFB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Look for success stories and case studies of similar projects that have been successfully funded on each platform. Analyze the characteristics of these projects, including their funding goals, campaign strategies, and engagement tactics, to glean insights into which platform may be the most effective for your project.</w:t>
            </w:r>
          </w:p>
        </w:tc>
        <w:tc>
          <w:tcPr>
            <w:tcW w:w="2566" w:type="dxa"/>
            <w:tcBorders>
              <w:top w:val="nil"/>
              <w:left w:val="nil"/>
              <w:bottom w:val="single" w:sz="4" w:space="0" w:color="auto"/>
              <w:right w:val="single" w:sz="4" w:space="0" w:color="auto"/>
            </w:tcBorders>
            <w:shd w:val="clear" w:color="auto" w:fill="auto"/>
            <w:hideMark/>
          </w:tcPr>
          <w:p w14:paraId="0456F1E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What campaigns could be best to mimick.  All in all there is also the Tardigradia Crowdsourcing campaign.  What grouping of source initiatives have been successful to accomplish multiple tasks at once? What reasonable funding goals can I amass for each project component. Programming hours the large need currently.</w:t>
            </w:r>
          </w:p>
        </w:tc>
      </w:tr>
      <w:tr w:rsidR="0041317E" w:rsidRPr="0041317E" w14:paraId="647BC70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410754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705CA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Analyzing Success Stories:</w:t>
            </w:r>
          </w:p>
        </w:tc>
        <w:tc>
          <w:tcPr>
            <w:tcW w:w="6762" w:type="dxa"/>
            <w:tcBorders>
              <w:top w:val="nil"/>
              <w:left w:val="nil"/>
              <w:bottom w:val="single" w:sz="4" w:space="0" w:color="auto"/>
              <w:right w:val="single" w:sz="4" w:space="0" w:color="auto"/>
            </w:tcBorders>
            <w:shd w:val="clear" w:color="auto" w:fill="auto"/>
            <w:hideMark/>
          </w:tcPr>
          <w:p w14:paraId="0F9FDC5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2D5F0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3F807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B8ECF7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B96E4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Similar Projects:</w:t>
            </w:r>
          </w:p>
        </w:tc>
        <w:tc>
          <w:tcPr>
            <w:tcW w:w="6762" w:type="dxa"/>
            <w:tcBorders>
              <w:top w:val="nil"/>
              <w:left w:val="nil"/>
              <w:bottom w:val="single" w:sz="4" w:space="0" w:color="auto"/>
              <w:right w:val="single" w:sz="4" w:space="0" w:color="auto"/>
            </w:tcBorders>
            <w:shd w:val="clear" w:color="auto" w:fill="auto"/>
            <w:hideMark/>
          </w:tcPr>
          <w:p w14:paraId="54C9862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22D05A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6B9DF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32FF4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CB5B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93932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success stories and case studies of projects similar to PrimeBookOne and Antikytherian PrimeBookTools that have been successfully funded on each platform. Identify projects in scientific research, mathematics, technology, and software development fields, as well as interdisciplinary projects that involve collaboration across different domains.</w:t>
            </w:r>
          </w:p>
        </w:tc>
        <w:tc>
          <w:tcPr>
            <w:tcW w:w="2566" w:type="dxa"/>
            <w:tcBorders>
              <w:top w:val="nil"/>
              <w:left w:val="nil"/>
              <w:bottom w:val="single" w:sz="4" w:space="0" w:color="auto"/>
              <w:right w:val="single" w:sz="4" w:space="0" w:color="auto"/>
            </w:tcBorders>
            <w:shd w:val="clear" w:color="auto" w:fill="auto"/>
            <w:hideMark/>
          </w:tcPr>
          <w:p w14:paraId="1582290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1E155D"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49734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B4C4D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CF152F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Analyze the characteristics of these projects, including their funding goals, campaign strategies, engagement tactics, and outcomes, to glean insights into which platform may be the most effective for your project. Consider factors such as the level of community engagement, the relevance of the project to the platform's audience, and the effectiveness of communication and storytelling.</w:t>
            </w:r>
          </w:p>
        </w:tc>
        <w:tc>
          <w:tcPr>
            <w:tcW w:w="2566" w:type="dxa"/>
            <w:tcBorders>
              <w:top w:val="nil"/>
              <w:left w:val="nil"/>
              <w:bottom w:val="single" w:sz="4" w:space="0" w:color="auto"/>
              <w:right w:val="single" w:sz="4" w:space="0" w:color="auto"/>
            </w:tcBorders>
            <w:shd w:val="clear" w:color="auto" w:fill="auto"/>
            <w:hideMark/>
          </w:tcPr>
          <w:p w14:paraId="2107964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0E923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C2661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6DFDF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Platform-Specific Successes:</w:t>
            </w:r>
          </w:p>
        </w:tc>
        <w:tc>
          <w:tcPr>
            <w:tcW w:w="6762" w:type="dxa"/>
            <w:tcBorders>
              <w:top w:val="nil"/>
              <w:left w:val="nil"/>
              <w:bottom w:val="single" w:sz="4" w:space="0" w:color="auto"/>
              <w:right w:val="single" w:sz="4" w:space="0" w:color="auto"/>
            </w:tcBorders>
            <w:shd w:val="clear" w:color="auto" w:fill="auto"/>
            <w:hideMark/>
          </w:tcPr>
          <w:p w14:paraId="11B4B02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BD727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BC8D8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20B7F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339E9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D56DD2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Explore success stories specific to each crowdfunding platform under consideration. Look for projects that have achieved their fundraising goals, received significant support from backers, and generated buzz within the crowdfunding community.</w:t>
            </w:r>
          </w:p>
        </w:tc>
        <w:tc>
          <w:tcPr>
            <w:tcW w:w="2566" w:type="dxa"/>
            <w:tcBorders>
              <w:top w:val="nil"/>
              <w:left w:val="nil"/>
              <w:bottom w:val="single" w:sz="4" w:space="0" w:color="auto"/>
              <w:right w:val="single" w:sz="4" w:space="0" w:color="auto"/>
            </w:tcBorders>
            <w:shd w:val="clear" w:color="auto" w:fill="auto"/>
            <w:hideMark/>
          </w:tcPr>
          <w:p w14:paraId="086E9E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2D323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A8E30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E4FB9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94FE4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Pay attention to the platform's role in facilitating the success of these projects. Evaluate the platform's features, tools, and resources that may have contributed to the projects' achievements, such as campaign promotion, backer outreach, project visibility, and post-campaign support.</w:t>
            </w:r>
          </w:p>
        </w:tc>
        <w:tc>
          <w:tcPr>
            <w:tcW w:w="2566" w:type="dxa"/>
            <w:tcBorders>
              <w:top w:val="nil"/>
              <w:left w:val="nil"/>
              <w:bottom w:val="single" w:sz="4" w:space="0" w:color="auto"/>
              <w:right w:val="single" w:sz="4" w:space="0" w:color="auto"/>
            </w:tcBorders>
            <w:shd w:val="clear" w:color="auto" w:fill="auto"/>
            <w:hideMark/>
          </w:tcPr>
          <w:p w14:paraId="00EC315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09ACA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0EB51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8F52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Tardigradia Crowdsourcing Campaign:</w:t>
            </w:r>
          </w:p>
        </w:tc>
        <w:tc>
          <w:tcPr>
            <w:tcW w:w="6762" w:type="dxa"/>
            <w:tcBorders>
              <w:top w:val="nil"/>
              <w:left w:val="nil"/>
              <w:bottom w:val="single" w:sz="4" w:space="0" w:color="auto"/>
              <w:right w:val="single" w:sz="4" w:space="0" w:color="auto"/>
            </w:tcBorders>
            <w:shd w:val="clear" w:color="auto" w:fill="auto"/>
            <w:hideMark/>
          </w:tcPr>
          <w:p w14:paraId="1B4E003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6A59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E9AE7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73223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94E0F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874E0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Tardigradia Crowdsourcing campaign as a potential reference point for successful crowdfunding initiatives. Analyze the campaign's strategies, goals, audience engagement tactics, and overall impact to identify key lessons and best practices that can be applied to your own crowdfunding campaigns.</w:t>
            </w:r>
          </w:p>
        </w:tc>
        <w:tc>
          <w:tcPr>
            <w:tcW w:w="2566" w:type="dxa"/>
            <w:tcBorders>
              <w:top w:val="nil"/>
              <w:left w:val="nil"/>
              <w:bottom w:val="single" w:sz="4" w:space="0" w:color="auto"/>
              <w:right w:val="single" w:sz="4" w:space="0" w:color="auto"/>
            </w:tcBorders>
            <w:shd w:val="clear" w:color="auto" w:fill="auto"/>
            <w:hideMark/>
          </w:tcPr>
          <w:p w14:paraId="44CA3F4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80E376"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8D66C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FC661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1E4AC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insights into how the Tardigradia campaign effectively communicated its value proposition, engaged with backers, and leveraged community support to achieve its objectives. Identify any unique features or elements of the campaign that contributed to its success and consider how similar approaches could be adapted for PrimeBookOne and Antikytherian PrimeBookTools.</w:t>
            </w:r>
          </w:p>
        </w:tc>
        <w:tc>
          <w:tcPr>
            <w:tcW w:w="2566" w:type="dxa"/>
            <w:tcBorders>
              <w:top w:val="nil"/>
              <w:left w:val="nil"/>
              <w:bottom w:val="single" w:sz="4" w:space="0" w:color="auto"/>
              <w:right w:val="single" w:sz="4" w:space="0" w:color="auto"/>
            </w:tcBorders>
            <w:shd w:val="clear" w:color="auto" w:fill="auto"/>
            <w:hideMark/>
          </w:tcPr>
          <w:p w14:paraId="5CBDCD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023AE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3A328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5FCDA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Grouping of Source Initiatives:</w:t>
            </w:r>
          </w:p>
        </w:tc>
        <w:tc>
          <w:tcPr>
            <w:tcW w:w="6762" w:type="dxa"/>
            <w:tcBorders>
              <w:top w:val="nil"/>
              <w:left w:val="nil"/>
              <w:bottom w:val="single" w:sz="4" w:space="0" w:color="auto"/>
              <w:right w:val="single" w:sz="4" w:space="0" w:color="auto"/>
            </w:tcBorders>
            <w:shd w:val="clear" w:color="auto" w:fill="auto"/>
            <w:hideMark/>
          </w:tcPr>
          <w:p w14:paraId="67607E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BF2BB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EE426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299AB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5BA87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5AEC4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Examine how successful crowdfunding campaigns have leveraged multiple source initiatives or funding streams to accomplish multiple tasks at once. Identify projects that have effectively combined crowdfunding with other sources of funding, such as grants, sponsorships, partnerships, or in-kind contributions.</w:t>
            </w:r>
          </w:p>
        </w:tc>
        <w:tc>
          <w:tcPr>
            <w:tcW w:w="2566" w:type="dxa"/>
            <w:tcBorders>
              <w:top w:val="nil"/>
              <w:left w:val="nil"/>
              <w:bottom w:val="single" w:sz="4" w:space="0" w:color="auto"/>
              <w:right w:val="single" w:sz="4" w:space="0" w:color="auto"/>
            </w:tcBorders>
            <w:shd w:val="clear" w:color="auto" w:fill="auto"/>
            <w:hideMark/>
          </w:tcPr>
          <w:p w14:paraId="0226E3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DD858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7754E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61696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14B08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Analyze the strategies used to coordinate and integrate these funding sources to support different aspects of the project, such as research, development, outreach, and sustainability. Look for examples of projects that have successfully aligned their funding goals with their overall project objectives and long-term vision.</w:t>
            </w:r>
          </w:p>
        </w:tc>
        <w:tc>
          <w:tcPr>
            <w:tcW w:w="2566" w:type="dxa"/>
            <w:tcBorders>
              <w:top w:val="nil"/>
              <w:left w:val="nil"/>
              <w:bottom w:val="single" w:sz="4" w:space="0" w:color="auto"/>
              <w:right w:val="single" w:sz="4" w:space="0" w:color="auto"/>
            </w:tcBorders>
            <w:shd w:val="clear" w:color="auto" w:fill="auto"/>
            <w:hideMark/>
          </w:tcPr>
          <w:p w14:paraId="32C573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AE458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C58B1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9DBE4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Reasonable Funding Goals:</w:t>
            </w:r>
          </w:p>
        </w:tc>
        <w:tc>
          <w:tcPr>
            <w:tcW w:w="6762" w:type="dxa"/>
            <w:tcBorders>
              <w:top w:val="nil"/>
              <w:left w:val="nil"/>
              <w:bottom w:val="single" w:sz="4" w:space="0" w:color="auto"/>
              <w:right w:val="single" w:sz="4" w:space="0" w:color="auto"/>
            </w:tcBorders>
            <w:shd w:val="clear" w:color="auto" w:fill="auto"/>
            <w:hideMark/>
          </w:tcPr>
          <w:p w14:paraId="2B99C10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48DE5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4D2FB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2ADF3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6FF72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069D65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Determine reasonable funding goals for each component of PrimeBookOne and Antikytherian PrimeBookTools based on the scope of work, project milestones, resource requirements, and expected outcomes. Consider the level of funding needed to support programming hours, software development, research activities, outreach efforts, and operational expenses.</w:t>
            </w:r>
          </w:p>
        </w:tc>
        <w:tc>
          <w:tcPr>
            <w:tcW w:w="2566" w:type="dxa"/>
            <w:tcBorders>
              <w:top w:val="nil"/>
              <w:left w:val="nil"/>
              <w:bottom w:val="single" w:sz="4" w:space="0" w:color="auto"/>
              <w:right w:val="single" w:sz="4" w:space="0" w:color="auto"/>
            </w:tcBorders>
            <w:shd w:val="clear" w:color="auto" w:fill="auto"/>
            <w:hideMark/>
          </w:tcPr>
          <w:p w14:paraId="675141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51767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32C69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E0F42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602CE5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Review the funding goals of similar projects that have been successfully funded on crowdfunding platforms to gauge appropriate benchmarks and set realistic targets. Factor in any additional costs or contingencies to ensure that the funding goals accurately reflect the project's needs and aspirations.</w:t>
            </w:r>
          </w:p>
        </w:tc>
        <w:tc>
          <w:tcPr>
            <w:tcW w:w="2566" w:type="dxa"/>
            <w:tcBorders>
              <w:top w:val="nil"/>
              <w:left w:val="nil"/>
              <w:bottom w:val="single" w:sz="4" w:space="0" w:color="auto"/>
              <w:right w:val="single" w:sz="4" w:space="0" w:color="auto"/>
            </w:tcBorders>
            <w:shd w:val="clear" w:color="auto" w:fill="auto"/>
            <w:hideMark/>
          </w:tcPr>
          <w:p w14:paraId="44B1A6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28DE0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63A1A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14C32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8F9D2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98D20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799CD4" w14:textId="77777777" w:rsidTr="0041317E">
        <w:trPr>
          <w:trHeight w:val="2016"/>
        </w:trPr>
        <w:tc>
          <w:tcPr>
            <w:tcW w:w="1349" w:type="dxa"/>
            <w:tcBorders>
              <w:top w:val="nil"/>
              <w:left w:val="single" w:sz="4" w:space="0" w:color="auto"/>
              <w:bottom w:val="single" w:sz="4" w:space="0" w:color="auto"/>
              <w:right w:val="single" w:sz="4" w:space="0" w:color="auto"/>
            </w:tcBorders>
            <w:shd w:val="clear" w:color="auto" w:fill="auto"/>
            <w:hideMark/>
          </w:tcPr>
          <w:p w14:paraId="28DABF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6AE5459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Fees and Fundraising Models: </w:t>
            </w:r>
          </w:p>
        </w:tc>
        <w:tc>
          <w:tcPr>
            <w:tcW w:w="6762" w:type="dxa"/>
            <w:tcBorders>
              <w:top w:val="nil"/>
              <w:left w:val="nil"/>
              <w:bottom w:val="single" w:sz="4" w:space="0" w:color="auto"/>
              <w:right w:val="single" w:sz="4" w:space="0" w:color="auto"/>
            </w:tcBorders>
            <w:shd w:val="clear" w:color="auto" w:fill="auto"/>
            <w:hideMark/>
          </w:tcPr>
          <w:p w14:paraId="78AB91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Consider the fees and fundraising models of each platform, including platform fees, payment processing fees, and any additional charges associated with running a campaign. Evaluate the cost-effectiveness of each platform in relation to your project's funding goal and budget.</w:t>
            </w:r>
          </w:p>
        </w:tc>
        <w:tc>
          <w:tcPr>
            <w:tcW w:w="2566" w:type="dxa"/>
            <w:tcBorders>
              <w:top w:val="nil"/>
              <w:left w:val="nil"/>
              <w:bottom w:val="single" w:sz="4" w:space="0" w:color="auto"/>
              <w:right w:val="single" w:sz="4" w:space="0" w:color="auto"/>
            </w:tcBorders>
            <w:shd w:val="clear" w:color="auto" w:fill="auto"/>
            <w:hideMark/>
          </w:tcPr>
          <w:p w14:paraId="6900F3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If the projects can gain more will a higher service fee be acceptable?  How will I know what platform will be the best launchpad?  Is money or word the value being offered?</w:t>
            </w:r>
          </w:p>
        </w:tc>
      </w:tr>
      <w:tr w:rsidR="0041317E" w:rsidRPr="0041317E" w14:paraId="437F9DE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88260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AC00A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Platform Fees:</w:t>
            </w:r>
          </w:p>
        </w:tc>
        <w:tc>
          <w:tcPr>
            <w:tcW w:w="6762" w:type="dxa"/>
            <w:tcBorders>
              <w:top w:val="nil"/>
              <w:left w:val="nil"/>
              <w:bottom w:val="single" w:sz="4" w:space="0" w:color="auto"/>
              <w:right w:val="single" w:sz="4" w:space="0" w:color="auto"/>
            </w:tcBorders>
            <w:shd w:val="clear" w:color="auto" w:fill="auto"/>
            <w:hideMark/>
          </w:tcPr>
          <w:p w14:paraId="5DA110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71173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D5D40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1DA0C4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15B35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8E0F9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platform fees charged by each crowdfunding platform. These fees typically include a percentage of funds raised, which can vary depending on the platform and the type of campaign (e.g., all-or-nothing vs. flexible funding).</w:t>
            </w:r>
          </w:p>
        </w:tc>
        <w:tc>
          <w:tcPr>
            <w:tcW w:w="2566" w:type="dxa"/>
            <w:tcBorders>
              <w:top w:val="nil"/>
              <w:left w:val="nil"/>
              <w:bottom w:val="single" w:sz="4" w:space="0" w:color="auto"/>
              <w:right w:val="single" w:sz="4" w:space="0" w:color="auto"/>
            </w:tcBorders>
            <w:shd w:val="clear" w:color="auto" w:fill="auto"/>
            <w:hideMark/>
          </w:tcPr>
          <w:p w14:paraId="50F9A9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6160C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A33AE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B22AF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28318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Compare the platform fees across different platforms to determine the cost implications for your project. Consider whether the platform fees are fixed or variable, and how they may impact your project's overall fundraising goal and budget.</w:t>
            </w:r>
          </w:p>
        </w:tc>
        <w:tc>
          <w:tcPr>
            <w:tcW w:w="2566" w:type="dxa"/>
            <w:tcBorders>
              <w:top w:val="nil"/>
              <w:left w:val="nil"/>
              <w:bottom w:val="single" w:sz="4" w:space="0" w:color="auto"/>
              <w:right w:val="single" w:sz="4" w:space="0" w:color="auto"/>
            </w:tcBorders>
            <w:shd w:val="clear" w:color="auto" w:fill="auto"/>
            <w:hideMark/>
          </w:tcPr>
          <w:p w14:paraId="6A001C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C720F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FCA4E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3C8FF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Payment Processing Fees:</w:t>
            </w:r>
          </w:p>
        </w:tc>
        <w:tc>
          <w:tcPr>
            <w:tcW w:w="6762" w:type="dxa"/>
            <w:tcBorders>
              <w:top w:val="nil"/>
              <w:left w:val="nil"/>
              <w:bottom w:val="single" w:sz="4" w:space="0" w:color="auto"/>
              <w:right w:val="single" w:sz="4" w:space="0" w:color="auto"/>
            </w:tcBorders>
            <w:shd w:val="clear" w:color="auto" w:fill="auto"/>
            <w:hideMark/>
          </w:tcPr>
          <w:p w14:paraId="516AE9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D7DF25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29483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9496F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56397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E7A0E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payment processing fees associated with each platform. These fees are charged by third-party payment processors (e.g., Stripe, PayPal) for handling financial transactions.</w:t>
            </w:r>
          </w:p>
        </w:tc>
        <w:tc>
          <w:tcPr>
            <w:tcW w:w="2566" w:type="dxa"/>
            <w:tcBorders>
              <w:top w:val="nil"/>
              <w:left w:val="nil"/>
              <w:bottom w:val="single" w:sz="4" w:space="0" w:color="auto"/>
              <w:right w:val="single" w:sz="4" w:space="0" w:color="auto"/>
            </w:tcBorders>
            <w:shd w:val="clear" w:color="auto" w:fill="auto"/>
            <w:hideMark/>
          </w:tcPr>
          <w:p w14:paraId="5814EF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856E7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8C4A4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EB5F0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2A909B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Review the payment processing fees for each platform, including the percentage of each transaction and any additional flat fees. Factor these fees into your budget calculations to ensure that you accurately account for the cost of processing donations or pledges.</w:t>
            </w:r>
          </w:p>
        </w:tc>
        <w:tc>
          <w:tcPr>
            <w:tcW w:w="2566" w:type="dxa"/>
            <w:tcBorders>
              <w:top w:val="nil"/>
              <w:left w:val="nil"/>
              <w:bottom w:val="single" w:sz="4" w:space="0" w:color="auto"/>
              <w:right w:val="single" w:sz="4" w:space="0" w:color="auto"/>
            </w:tcBorders>
            <w:shd w:val="clear" w:color="auto" w:fill="auto"/>
            <w:hideMark/>
          </w:tcPr>
          <w:p w14:paraId="79E5EB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2990A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DEAC7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F7738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Additional Charges:</w:t>
            </w:r>
          </w:p>
        </w:tc>
        <w:tc>
          <w:tcPr>
            <w:tcW w:w="6762" w:type="dxa"/>
            <w:tcBorders>
              <w:top w:val="nil"/>
              <w:left w:val="nil"/>
              <w:bottom w:val="single" w:sz="4" w:space="0" w:color="auto"/>
              <w:right w:val="single" w:sz="4" w:space="0" w:color="auto"/>
            </w:tcBorders>
            <w:shd w:val="clear" w:color="auto" w:fill="auto"/>
            <w:hideMark/>
          </w:tcPr>
          <w:p w14:paraId="6A16BD3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5656D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1BCD6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89EE7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24FA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B8BB7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 aware of any additional charges or hidden costs associated with running a crowdfunding campaign on each platform. These may include fees for campaign promotion, premium features or services, post-campaign support, or access to specialized resources.</w:t>
            </w:r>
          </w:p>
        </w:tc>
        <w:tc>
          <w:tcPr>
            <w:tcW w:w="2566" w:type="dxa"/>
            <w:tcBorders>
              <w:top w:val="nil"/>
              <w:left w:val="nil"/>
              <w:bottom w:val="single" w:sz="4" w:space="0" w:color="auto"/>
              <w:right w:val="single" w:sz="4" w:space="0" w:color="auto"/>
            </w:tcBorders>
            <w:shd w:val="clear" w:color="auto" w:fill="auto"/>
            <w:hideMark/>
          </w:tcPr>
          <w:p w14:paraId="35FB98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7DFCE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5A4C6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5F4E7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535AF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value proposition of these additional charges and consider whether they align with your project's needs and goals. Determine whether the benefits offered justify the associated costs and whether they are essential for achieving your fundraising objectives.</w:t>
            </w:r>
          </w:p>
        </w:tc>
        <w:tc>
          <w:tcPr>
            <w:tcW w:w="2566" w:type="dxa"/>
            <w:tcBorders>
              <w:top w:val="nil"/>
              <w:left w:val="nil"/>
              <w:bottom w:val="single" w:sz="4" w:space="0" w:color="auto"/>
              <w:right w:val="single" w:sz="4" w:space="0" w:color="auto"/>
            </w:tcBorders>
            <w:shd w:val="clear" w:color="auto" w:fill="auto"/>
            <w:hideMark/>
          </w:tcPr>
          <w:p w14:paraId="24D5A7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32213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35CA5D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52836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Cost-Effectiveness:</w:t>
            </w:r>
          </w:p>
        </w:tc>
        <w:tc>
          <w:tcPr>
            <w:tcW w:w="6762" w:type="dxa"/>
            <w:tcBorders>
              <w:top w:val="nil"/>
              <w:left w:val="nil"/>
              <w:bottom w:val="single" w:sz="4" w:space="0" w:color="auto"/>
              <w:right w:val="single" w:sz="4" w:space="0" w:color="auto"/>
            </w:tcBorders>
            <w:shd w:val="clear" w:color="auto" w:fill="auto"/>
            <w:hideMark/>
          </w:tcPr>
          <w:p w14:paraId="3C886BB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89884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8A52E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431363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FA945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1A4AD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the cost-effectiveness of each platform in relation to your project's funding goal and budget. Consider not only the direct fees and charges but also the platform's overall value proposition, including its audience reach, engagement tools, support services, and success rates.</w:t>
            </w:r>
          </w:p>
        </w:tc>
        <w:tc>
          <w:tcPr>
            <w:tcW w:w="2566" w:type="dxa"/>
            <w:tcBorders>
              <w:top w:val="nil"/>
              <w:left w:val="nil"/>
              <w:bottom w:val="single" w:sz="4" w:space="0" w:color="auto"/>
              <w:right w:val="single" w:sz="4" w:space="0" w:color="auto"/>
            </w:tcBorders>
            <w:shd w:val="clear" w:color="auto" w:fill="auto"/>
            <w:hideMark/>
          </w:tcPr>
          <w:p w14:paraId="41B6D8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435133" w14:textId="77777777" w:rsidTr="0041317E">
        <w:trPr>
          <w:trHeight w:val="396"/>
        </w:trPr>
        <w:tc>
          <w:tcPr>
            <w:tcW w:w="1349" w:type="dxa"/>
            <w:tcBorders>
              <w:top w:val="nil"/>
              <w:left w:val="single" w:sz="4" w:space="0" w:color="auto"/>
              <w:bottom w:val="single" w:sz="4" w:space="0" w:color="auto"/>
              <w:right w:val="single" w:sz="4" w:space="0" w:color="auto"/>
            </w:tcBorders>
            <w:shd w:val="clear" w:color="auto" w:fill="auto"/>
            <w:hideMark/>
          </w:tcPr>
          <w:p w14:paraId="3B9BDB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2FB88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C7B47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Calculate the total cost of running a crowdfunding campaign on each platform, taking into account all applicable fees and charges. Compare these costs against the potential benefits and outcomes of using each platform to determine which option offers the best return on investment for your project.</w:t>
            </w:r>
          </w:p>
        </w:tc>
        <w:tc>
          <w:tcPr>
            <w:tcW w:w="2566" w:type="dxa"/>
            <w:tcBorders>
              <w:top w:val="nil"/>
              <w:left w:val="nil"/>
              <w:bottom w:val="single" w:sz="4" w:space="0" w:color="auto"/>
              <w:right w:val="single" w:sz="4" w:space="0" w:color="auto"/>
            </w:tcBorders>
            <w:shd w:val="clear" w:color="auto" w:fill="auto"/>
            <w:hideMark/>
          </w:tcPr>
          <w:p w14:paraId="726413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EB123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58EC8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9B83D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Platform Reputation and Track Record:</w:t>
            </w:r>
          </w:p>
        </w:tc>
        <w:tc>
          <w:tcPr>
            <w:tcW w:w="6762" w:type="dxa"/>
            <w:tcBorders>
              <w:top w:val="nil"/>
              <w:left w:val="nil"/>
              <w:bottom w:val="single" w:sz="4" w:space="0" w:color="auto"/>
              <w:right w:val="single" w:sz="4" w:space="0" w:color="auto"/>
            </w:tcBorders>
            <w:shd w:val="clear" w:color="auto" w:fill="auto"/>
            <w:hideMark/>
          </w:tcPr>
          <w:p w14:paraId="761E834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B9F64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6B145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126D0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2AD59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B51D1F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reputation and track record of each crowdfunding platform in terms of reliability, security, and success rates. Research user reviews, testimonials, and case studies to gauge the platform's credibility and performance.</w:t>
            </w:r>
          </w:p>
        </w:tc>
        <w:tc>
          <w:tcPr>
            <w:tcW w:w="2566" w:type="dxa"/>
            <w:tcBorders>
              <w:top w:val="nil"/>
              <w:left w:val="nil"/>
              <w:bottom w:val="single" w:sz="4" w:space="0" w:color="auto"/>
              <w:right w:val="single" w:sz="4" w:space="0" w:color="auto"/>
            </w:tcBorders>
            <w:shd w:val="clear" w:color="auto" w:fill="auto"/>
            <w:hideMark/>
          </w:tcPr>
          <w:p w14:paraId="3CF1843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09B22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EF740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7000C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9DB727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platforms with a proven track record of successfully funding projects similar to yours, as well as a history of transparent and ethical business practices. Choose platforms that prioritize the interests of project creators and backers and have mechanisms in place to address disputes or issues that may arise during the campaign.</w:t>
            </w:r>
          </w:p>
        </w:tc>
        <w:tc>
          <w:tcPr>
            <w:tcW w:w="2566" w:type="dxa"/>
            <w:tcBorders>
              <w:top w:val="nil"/>
              <w:left w:val="nil"/>
              <w:bottom w:val="single" w:sz="4" w:space="0" w:color="auto"/>
              <w:right w:val="single" w:sz="4" w:space="0" w:color="auto"/>
            </w:tcBorders>
            <w:shd w:val="clear" w:color="auto" w:fill="auto"/>
            <w:hideMark/>
          </w:tcPr>
          <w:p w14:paraId="32C32F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13C9A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00470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6F663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Alignment with Project Goals and Values:</w:t>
            </w:r>
          </w:p>
        </w:tc>
        <w:tc>
          <w:tcPr>
            <w:tcW w:w="6762" w:type="dxa"/>
            <w:tcBorders>
              <w:top w:val="nil"/>
              <w:left w:val="nil"/>
              <w:bottom w:val="single" w:sz="4" w:space="0" w:color="auto"/>
              <w:right w:val="single" w:sz="4" w:space="0" w:color="auto"/>
            </w:tcBorders>
            <w:shd w:val="clear" w:color="auto" w:fill="auto"/>
            <w:hideMark/>
          </w:tcPr>
          <w:p w14:paraId="3DB015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4250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DE16D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02BC8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BDCFB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D57A0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the fundraising model and fee structure of each platform align with your project's goals, values, and priorities. Consider whether the platform's policies and practices support your project's mission and objectives, as well as its commitment to transparency, accountability, and responsible stewardship of resources.</w:t>
            </w:r>
          </w:p>
        </w:tc>
        <w:tc>
          <w:tcPr>
            <w:tcW w:w="2566" w:type="dxa"/>
            <w:tcBorders>
              <w:top w:val="nil"/>
              <w:left w:val="nil"/>
              <w:bottom w:val="single" w:sz="4" w:space="0" w:color="auto"/>
              <w:right w:val="single" w:sz="4" w:space="0" w:color="auto"/>
            </w:tcBorders>
            <w:shd w:val="clear" w:color="auto" w:fill="auto"/>
            <w:hideMark/>
          </w:tcPr>
          <w:p w14:paraId="5EB7A9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C0550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11F27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31805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165FE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Choose platforms that resonate with your project's target audience and community, as well as those that offer the flexibility, customization options, and support services needed to effectively execute your crowdfunding campaign and achieve your fundraising goals.</w:t>
            </w:r>
          </w:p>
        </w:tc>
        <w:tc>
          <w:tcPr>
            <w:tcW w:w="2566" w:type="dxa"/>
            <w:tcBorders>
              <w:top w:val="nil"/>
              <w:left w:val="nil"/>
              <w:bottom w:val="single" w:sz="4" w:space="0" w:color="auto"/>
              <w:right w:val="single" w:sz="4" w:space="0" w:color="auto"/>
            </w:tcBorders>
            <w:shd w:val="clear" w:color="auto" w:fill="auto"/>
            <w:hideMark/>
          </w:tcPr>
          <w:p w14:paraId="2E690A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AF159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38AB7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BFA6E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733D5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0526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181BC5" w14:textId="77777777" w:rsidTr="0041317E">
        <w:trPr>
          <w:trHeight w:val="3168"/>
        </w:trPr>
        <w:tc>
          <w:tcPr>
            <w:tcW w:w="1349" w:type="dxa"/>
            <w:tcBorders>
              <w:top w:val="nil"/>
              <w:left w:val="single" w:sz="4" w:space="0" w:color="auto"/>
              <w:bottom w:val="single" w:sz="4" w:space="0" w:color="auto"/>
              <w:right w:val="single" w:sz="4" w:space="0" w:color="auto"/>
            </w:tcBorders>
            <w:shd w:val="clear" w:color="auto" w:fill="auto"/>
            <w:hideMark/>
          </w:tcPr>
          <w:p w14:paraId="21DB2CE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7056497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6. Community Engagement and Support: </w:t>
            </w:r>
          </w:p>
        </w:tc>
        <w:tc>
          <w:tcPr>
            <w:tcW w:w="6762" w:type="dxa"/>
            <w:tcBorders>
              <w:top w:val="nil"/>
              <w:left w:val="nil"/>
              <w:bottom w:val="single" w:sz="4" w:space="0" w:color="auto"/>
              <w:right w:val="single" w:sz="4" w:space="0" w:color="auto"/>
            </w:tcBorders>
            <w:shd w:val="clear" w:color="auto" w:fill="auto"/>
            <w:hideMark/>
          </w:tcPr>
          <w:p w14:paraId="394E741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Assess the level of community engagement and support offered by each platform, including resources, tools, and guidance for running a successful campaign. Look for platforms that provide robust support services, educational resources, and opportunities for networking and collaboration with other project creators.</w:t>
            </w:r>
          </w:p>
        </w:tc>
        <w:tc>
          <w:tcPr>
            <w:tcW w:w="2566" w:type="dxa"/>
            <w:tcBorders>
              <w:top w:val="nil"/>
              <w:left w:val="nil"/>
              <w:bottom w:val="single" w:sz="4" w:space="0" w:color="auto"/>
              <w:right w:val="single" w:sz="4" w:space="0" w:color="auto"/>
            </w:tcBorders>
            <w:shd w:val="clear" w:color="auto" w:fill="auto"/>
            <w:hideMark/>
          </w:tcPr>
          <w:p w14:paraId="11C860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Create a Prime Day Event.  Online engagement.  Website Tardigradia Animation with the characters counting prime infinitely.  Work with educational institution outreach, mathematics departments, educators to invest ideas support and computational time.</w:t>
            </w:r>
          </w:p>
        </w:tc>
      </w:tr>
      <w:tr w:rsidR="0041317E" w:rsidRPr="0041317E" w14:paraId="0C067BC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AEE35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90D0C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Assessment of Community Engagement:</w:t>
            </w:r>
          </w:p>
        </w:tc>
        <w:tc>
          <w:tcPr>
            <w:tcW w:w="6762" w:type="dxa"/>
            <w:tcBorders>
              <w:top w:val="nil"/>
              <w:left w:val="nil"/>
              <w:bottom w:val="single" w:sz="4" w:space="0" w:color="auto"/>
              <w:right w:val="single" w:sz="4" w:space="0" w:color="auto"/>
            </w:tcBorders>
            <w:shd w:val="clear" w:color="auto" w:fill="auto"/>
            <w:hideMark/>
          </w:tcPr>
          <w:p w14:paraId="01A64DD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04178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B5BB8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FC6F39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7B6BC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E18FA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level of community engagement facilitated by each crowdfunding platform. This includes assessing the platform's user interface, communication channels, and interaction features that enable project creators to engage with their backers and the broader community.</w:t>
            </w:r>
          </w:p>
        </w:tc>
        <w:tc>
          <w:tcPr>
            <w:tcW w:w="2566" w:type="dxa"/>
            <w:tcBorders>
              <w:top w:val="nil"/>
              <w:left w:val="nil"/>
              <w:bottom w:val="single" w:sz="4" w:space="0" w:color="auto"/>
              <w:right w:val="single" w:sz="4" w:space="0" w:color="auto"/>
            </w:tcBorders>
            <w:shd w:val="clear" w:color="auto" w:fill="auto"/>
            <w:hideMark/>
          </w:tcPr>
          <w:p w14:paraId="2B519B0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3C952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AE71A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FB391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6CAA18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platforms that offer robust community-building tools, such as discussion forums, messaging systems, comment sections, and social media integration. These features allow project creators to actively engage with their supporters, address questions or concerns, and foster a sense of connection and involvement throughout the campaign.</w:t>
            </w:r>
          </w:p>
        </w:tc>
        <w:tc>
          <w:tcPr>
            <w:tcW w:w="2566" w:type="dxa"/>
            <w:tcBorders>
              <w:top w:val="nil"/>
              <w:left w:val="nil"/>
              <w:bottom w:val="single" w:sz="4" w:space="0" w:color="auto"/>
              <w:right w:val="single" w:sz="4" w:space="0" w:color="auto"/>
            </w:tcBorders>
            <w:shd w:val="clear" w:color="auto" w:fill="auto"/>
            <w:hideMark/>
          </w:tcPr>
          <w:p w14:paraId="36A418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EA3BF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F32C3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82C02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Support Resources and Guidance:</w:t>
            </w:r>
          </w:p>
        </w:tc>
        <w:tc>
          <w:tcPr>
            <w:tcW w:w="6762" w:type="dxa"/>
            <w:tcBorders>
              <w:top w:val="nil"/>
              <w:left w:val="nil"/>
              <w:bottom w:val="single" w:sz="4" w:space="0" w:color="auto"/>
              <w:right w:val="single" w:sz="4" w:space="0" w:color="auto"/>
            </w:tcBorders>
            <w:shd w:val="clear" w:color="auto" w:fill="auto"/>
            <w:hideMark/>
          </w:tcPr>
          <w:p w14:paraId="4813141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EF610A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14363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50AAC3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7DE37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98C477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Review the support resources and guidance provided by each platform to assist project creators in planning, launching, and managing their campaigns. This may include tutorials, guides, webinars, and FAQs covering various aspects of crowdfunding, from campaign creation to fulfillment and post-campaign activities.</w:t>
            </w:r>
          </w:p>
        </w:tc>
        <w:tc>
          <w:tcPr>
            <w:tcW w:w="2566" w:type="dxa"/>
            <w:tcBorders>
              <w:top w:val="nil"/>
              <w:left w:val="nil"/>
              <w:bottom w:val="single" w:sz="4" w:space="0" w:color="auto"/>
              <w:right w:val="single" w:sz="4" w:space="0" w:color="auto"/>
            </w:tcBorders>
            <w:shd w:val="clear" w:color="auto" w:fill="auto"/>
            <w:hideMark/>
          </w:tcPr>
          <w:p w14:paraId="759F58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6B462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B71C4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8AB7E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BE45B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the quality and comprehensiveness of the support materials available, as well as the platform's responsiveness to inquiries and requests for assistance. Look for platforms that offer personalized support from dedicated account managers or customer service representatives to help navigate any challenges or issues that may arise during the campaign.</w:t>
            </w:r>
          </w:p>
        </w:tc>
        <w:tc>
          <w:tcPr>
            <w:tcW w:w="2566" w:type="dxa"/>
            <w:tcBorders>
              <w:top w:val="nil"/>
              <w:left w:val="nil"/>
              <w:bottom w:val="single" w:sz="4" w:space="0" w:color="auto"/>
              <w:right w:val="single" w:sz="4" w:space="0" w:color="auto"/>
            </w:tcBorders>
            <w:shd w:val="clear" w:color="auto" w:fill="auto"/>
            <w:hideMark/>
          </w:tcPr>
          <w:p w14:paraId="4884DE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37B73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A6F59D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D6DA9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Educational Opportunities:</w:t>
            </w:r>
          </w:p>
        </w:tc>
        <w:tc>
          <w:tcPr>
            <w:tcW w:w="6762" w:type="dxa"/>
            <w:tcBorders>
              <w:top w:val="nil"/>
              <w:left w:val="nil"/>
              <w:bottom w:val="single" w:sz="4" w:space="0" w:color="auto"/>
              <w:right w:val="single" w:sz="4" w:space="0" w:color="auto"/>
            </w:tcBorders>
            <w:shd w:val="clear" w:color="auto" w:fill="auto"/>
            <w:hideMark/>
          </w:tcPr>
          <w:p w14:paraId="298B7C0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72248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CCC4A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97BD2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4C3FA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33E43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Explore opportunities for educational outreach and collaboration facilitated by the crowdfunding platform. This may include partnerships with educational institutions, workshops, seminars, and networking events aimed at supporting project creators and fostering knowledge sharing within the community.</w:t>
            </w:r>
          </w:p>
        </w:tc>
        <w:tc>
          <w:tcPr>
            <w:tcW w:w="2566" w:type="dxa"/>
            <w:tcBorders>
              <w:top w:val="nil"/>
              <w:left w:val="nil"/>
              <w:bottom w:val="single" w:sz="4" w:space="0" w:color="auto"/>
              <w:right w:val="single" w:sz="4" w:space="0" w:color="auto"/>
            </w:tcBorders>
            <w:shd w:val="clear" w:color="auto" w:fill="auto"/>
            <w:hideMark/>
          </w:tcPr>
          <w:p w14:paraId="37C691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5CF5C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5A1BA6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78B29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676AE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platforms that offer educational resources specifically tailored to scientific research, mathematics, or technology projects, including guidance on project development, fundraising strategies, and best practices for engaging with backers and stakeholders.</w:t>
            </w:r>
          </w:p>
        </w:tc>
        <w:tc>
          <w:tcPr>
            <w:tcW w:w="2566" w:type="dxa"/>
            <w:tcBorders>
              <w:top w:val="nil"/>
              <w:left w:val="nil"/>
              <w:bottom w:val="single" w:sz="4" w:space="0" w:color="auto"/>
              <w:right w:val="single" w:sz="4" w:space="0" w:color="auto"/>
            </w:tcBorders>
            <w:shd w:val="clear" w:color="auto" w:fill="auto"/>
            <w:hideMark/>
          </w:tcPr>
          <w:p w14:paraId="2F7BD3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F2ECB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54E0C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377EE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Networking and Collaboration:</w:t>
            </w:r>
          </w:p>
        </w:tc>
        <w:tc>
          <w:tcPr>
            <w:tcW w:w="6762" w:type="dxa"/>
            <w:tcBorders>
              <w:top w:val="nil"/>
              <w:left w:val="nil"/>
              <w:bottom w:val="single" w:sz="4" w:space="0" w:color="auto"/>
              <w:right w:val="single" w:sz="4" w:space="0" w:color="auto"/>
            </w:tcBorders>
            <w:shd w:val="clear" w:color="auto" w:fill="auto"/>
            <w:hideMark/>
          </w:tcPr>
          <w:p w14:paraId="220C7DD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43BE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5AA59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36FDD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9B149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710E9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Look for platforms that facilitate networking and collaboration among project creators, backers, and industry experts. This may include features such as online forums, networking events, mentorship programs, and collaboration tools that enable project creators to connect with potential collaborators, advisors, or investors.</w:t>
            </w:r>
          </w:p>
        </w:tc>
        <w:tc>
          <w:tcPr>
            <w:tcW w:w="2566" w:type="dxa"/>
            <w:tcBorders>
              <w:top w:val="nil"/>
              <w:left w:val="nil"/>
              <w:bottom w:val="single" w:sz="4" w:space="0" w:color="auto"/>
              <w:right w:val="single" w:sz="4" w:space="0" w:color="auto"/>
            </w:tcBorders>
            <w:shd w:val="clear" w:color="auto" w:fill="auto"/>
            <w:hideMark/>
          </w:tcPr>
          <w:p w14:paraId="314A74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F183E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08EC89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B196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F609A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the platform's track record of fostering successful collaborations and partnerships within its community. Look for examples of projects that have benefited from networking opportunities provided by the platform and consider how these connections could enhance the visibility, credibility, and success of your own campaign.</w:t>
            </w:r>
          </w:p>
        </w:tc>
        <w:tc>
          <w:tcPr>
            <w:tcW w:w="2566" w:type="dxa"/>
            <w:tcBorders>
              <w:top w:val="nil"/>
              <w:left w:val="nil"/>
              <w:bottom w:val="single" w:sz="4" w:space="0" w:color="auto"/>
              <w:right w:val="single" w:sz="4" w:space="0" w:color="auto"/>
            </w:tcBorders>
            <w:shd w:val="clear" w:color="auto" w:fill="auto"/>
            <w:hideMark/>
          </w:tcPr>
          <w:p w14:paraId="74DD68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87081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85DDF6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504BF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Examples of Community Engagement:</w:t>
            </w:r>
          </w:p>
        </w:tc>
        <w:tc>
          <w:tcPr>
            <w:tcW w:w="6762" w:type="dxa"/>
            <w:tcBorders>
              <w:top w:val="nil"/>
              <w:left w:val="nil"/>
              <w:bottom w:val="single" w:sz="4" w:space="0" w:color="auto"/>
              <w:right w:val="single" w:sz="4" w:space="0" w:color="auto"/>
            </w:tcBorders>
            <w:shd w:val="clear" w:color="auto" w:fill="auto"/>
            <w:hideMark/>
          </w:tcPr>
          <w:p w14:paraId="677ED22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7517F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60D2B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34DC11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F5FA7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971A1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Study success stories and case studies of projects that have effectively leveraged community engagement on each platform. Analyze the strategies, tactics, and engagement techniques used by these projects to attract backers, generate buzz, and drive momentum throughout their campaigns.</w:t>
            </w:r>
          </w:p>
        </w:tc>
        <w:tc>
          <w:tcPr>
            <w:tcW w:w="2566" w:type="dxa"/>
            <w:tcBorders>
              <w:top w:val="nil"/>
              <w:left w:val="nil"/>
              <w:bottom w:val="single" w:sz="4" w:space="0" w:color="auto"/>
              <w:right w:val="single" w:sz="4" w:space="0" w:color="auto"/>
            </w:tcBorders>
            <w:shd w:val="clear" w:color="auto" w:fill="auto"/>
            <w:hideMark/>
          </w:tcPr>
          <w:p w14:paraId="52D019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26A6D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1818F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57D3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68599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Learn from the experiences of other project creators who have successfully navigated the crowdfunding process and built strong relationships with their backers and supporters. Take inspiration from their approaches to community engagement and adapt them to suit your own project's goals and audience.</w:t>
            </w:r>
          </w:p>
        </w:tc>
        <w:tc>
          <w:tcPr>
            <w:tcW w:w="2566" w:type="dxa"/>
            <w:tcBorders>
              <w:top w:val="nil"/>
              <w:left w:val="nil"/>
              <w:bottom w:val="single" w:sz="4" w:space="0" w:color="auto"/>
              <w:right w:val="single" w:sz="4" w:space="0" w:color="auto"/>
            </w:tcBorders>
            <w:shd w:val="clear" w:color="auto" w:fill="auto"/>
            <w:hideMark/>
          </w:tcPr>
          <w:p w14:paraId="4442FE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F360C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ADC1FE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C10D4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Alignment with Project Goals and Values:</w:t>
            </w:r>
          </w:p>
        </w:tc>
        <w:tc>
          <w:tcPr>
            <w:tcW w:w="6762" w:type="dxa"/>
            <w:tcBorders>
              <w:top w:val="nil"/>
              <w:left w:val="nil"/>
              <w:bottom w:val="single" w:sz="4" w:space="0" w:color="auto"/>
              <w:right w:val="single" w:sz="4" w:space="0" w:color="auto"/>
            </w:tcBorders>
            <w:shd w:val="clear" w:color="auto" w:fill="auto"/>
            <w:hideMark/>
          </w:tcPr>
          <w:p w14:paraId="6E2647C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D9BD2D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391DCE"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CD4D6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25E68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09AF6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the community engagement and support offered by each platform align with your project's goals, values, and priorities. Choose platforms that prioritize transparency, accountability, and responsible stewardship of resources, as well as those that foster a sense of community, collaboration, and mutual support among project creators and backers.</w:t>
            </w:r>
          </w:p>
        </w:tc>
        <w:tc>
          <w:tcPr>
            <w:tcW w:w="2566" w:type="dxa"/>
            <w:tcBorders>
              <w:top w:val="nil"/>
              <w:left w:val="nil"/>
              <w:bottom w:val="single" w:sz="4" w:space="0" w:color="auto"/>
              <w:right w:val="single" w:sz="4" w:space="0" w:color="auto"/>
            </w:tcBorders>
            <w:shd w:val="clear" w:color="auto" w:fill="auto"/>
            <w:hideMark/>
          </w:tcPr>
          <w:p w14:paraId="6F9A94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A3452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2391FC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8615F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05E0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Select platforms that offer the tools, resources, and guidance needed to effectively engage with your target audience, communicate your project's value proposition, and cultivate a supportive community of backers and supporters who are passionate about your cause.</w:t>
            </w:r>
          </w:p>
        </w:tc>
        <w:tc>
          <w:tcPr>
            <w:tcW w:w="2566" w:type="dxa"/>
            <w:tcBorders>
              <w:top w:val="nil"/>
              <w:left w:val="nil"/>
              <w:bottom w:val="single" w:sz="4" w:space="0" w:color="auto"/>
              <w:right w:val="single" w:sz="4" w:space="0" w:color="auto"/>
            </w:tcBorders>
            <w:shd w:val="clear" w:color="auto" w:fill="auto"/>
            <w:hideMark/>
          </w:tcPr>
          <w:p w14:paraId="6774105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2C174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4A0AC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04BC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7B9A25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7964D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22EB85" w14:textId="77777777" w:rsidTr="0041317E">
        <w:trPr>
          <w:trHeight w:val="7776"/>
        </w:trPr>
        <w:tc>
          <w:tcPr>
            <w:tcW w:w="1349" w:type="dxa"/>
            <w:tcBorders>
              <w:top w:val="nil"/>
              <w:left w:val="single" w:sz="4" w:space="0" w:color="auto"/>
              <w:bottom w:val="single" w:sz="4" w:space="0" w:color="auto"/>
              <w:right w:val="single" w:sz="4" w:space="0" w:color="auto"/>
            </w:tcBorders>
            <w:shd w:val="clear" w:color="auto" w:fill="auto"/>
            <w:hideMark/>
          </w:tcPr>
          <w:p w14:paraId="72854B0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7E9BC50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Flexibility and Customization: </w:t>
            </w:r>
          </w:p>
        </w:tc>
        <w:tc>
          <w:tcPr>
            <w:tcW w:w="6762" w:type="dxa"/>
            <w:tcBorders>
              <w:top w:val="nil"/>
              <w:left w:val="nil"/>
              <w:bottom w:val="single" w:sz="4" w:space="0" w:color="auto"/>
              <w:right w:val="single" w:sz="4" w:space="0" w:color="auto"/>
            </w:tcBorders>
            <w:shd w:val="clear" w:color="auto" w:fill="auto"/>
            <w:hideMark/>
          </w:tcPr>
          <w:p w14:paraId="38E258A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Evaluate the flexibility and customization options available on each platform, such as campaign duration, funding goal options, reward tiers, and campaign updates. Choose a platform that allows you to tailor your campaign to meet the specific needs and preferences of your target audience.</w:t>
            </w:r>
          </w:p>
        </w:tc>
        <w:tc>
          <w:tcPr>
            <w:tcW w:w="2566" w:type="dxa"/>
            <w:tcBorders>
              <w:top w:val="nil"/>
              <w:left w:val="nil"/>
              <w:bottom w:val="single" w:sz="4" w:space="0" w:color="auto"/>
              <w:right w:val="single" w:sz="4" w:space="0" w:color="auto"/>
            </w:tcBorders>
            <w:shd w:val="clear" w:color="auto" w:fill="auto"/>
            <w:hideMark/>
          </w:tcPr>
          <w:p w14:paraId="5E7031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Programming is taking some time, If I receive funds will I be able to speed things along, I hope so.  I have to type this as opposed to test prime code.  Really prefer to type, humans are so more flexible with typos and syntax. How can I make the people feel good that they invested their anything time pocketchange technology in the primebookone project Antikytherian PrimeBookTools App and Tardigradia Franchises.  There are many factors and if I can get each different world component to support a family of component projects, togeather they are more productive than alone.  Find the direction the fund receiving component is wishing to go and follow that project's lead.</w:t>
            </w:r>
          </w:p>
        </w:tc>
      </w:tr>
      <w:tr w:rsidR="0041317E" w:rsidRPr="0041317E" w14:paraId="0E55042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3B2174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33969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Campaign Duration:</w:t>
            </w:r>
          </w:p>
        </w:tc>
        <w:tc>
          <w:tcPr>
            <w:tcW w:w="6762" w:type="dxa"/>
            <w:tcBorders>
              <w:top w:val="nil"/>
              <w:left w:val="nil"/>
              <w:bottom w:val="single" w:sz="4" w:space="0" w:color="auto"/>
              <w:right w:val="single" w:sz="4" w:space="0" w:color="auto"/>
            </w:tcBorders>
            <w:shd w:val="clear" w:color="auto" w:fill="auto"/>
            <w:hideMark/>
          </w:tcPr>
          <w:p w14:paraId="702622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204D4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920CD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E8C2CD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A2516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1A004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flexibility of campaign duration offered by each platform. Some platforms may have fixed durations for campaigns, while others allow for customizable campaign lengths ranging from a few days to several months.</w:t>
            </w:r>
          </w:p>
        </w:tc>
        <w:tc>
          <w:tcPr>
            <w:tcW w:w="2566" w:type="dxa"/>
            <w:tcBorders>
              <w:top w:val="nil"/>
              <w:left w:val="nil"/>
              <w:bottom w:val="single" w:sz="4" w:space="0" w:color="auto"/>
              <w:right w:val="single" w:sz="4" w:space="0" w:color="auto"/>
            </w:tcBorders>
            <w:shd w:val="clear" w:color="auto" w:fill="auto"/>
            <w:hideMark/>
          </w:tcPr>
          <w:p w14:paraId="1889D3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2F0512"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002A2F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32AD1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26BFD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optimal duration for your campaign based on factors such as the complexity of your project, the size of your target audience, and the amount of funding you need to raise. Longer campaigns may provide more time to reach your funding goal, but they also require sustained engagement and promotion efforts.</w:t>
            </w:r>
          </w:p>
        </w:tc>
        <w:tc>
          <w:tcPr>
            <w:tcW w:w="2566" w:type="dxa"/>
            <w:tcBorders>
              <w:top w:val="nil"/>
              <w:left w:val="nil"/>
              <w:bottom w:val="single" w:sz="4" w:space="0" w:color="auto"/>
              <w:right w:val="single" w:sz="4" w:space="0" w:color="auto"/>
            </w:tcBorders>
            <w:shd w:val="clear" w:color="auto" w:fill="auto"/>
            <w:hideMark/>
          </w:tcPr>
          <w:p w14:paraId="00998FD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60FE2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CE23A3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E0C70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Funding Goal Options:</w:t>
            </w:r>
          </w:p>
        </w:tc>
        <w:tc>
          <w:tcPr>
            <w:tcW w:w="6762" w:type="dxa"/>
            <w:tcBorders>
              <w:top w:val="nil"/>
              <w:left w:val="nil"/>
              <w:bottom w:val="single" w:sz="4" w:space="0" w:color="auto"/>
              <w:right w:val="single" w:sz="4" w:space="0" w:color="auto"/>
            </w:tcBorders>
            <w:shd w:val="clear" w:color="auto" w:fill="auto"/>
            <w:hideMark/>
          </w:tcPr>
          <w:p w14:paraId="13414F9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B96705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5C586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50295E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3E7FA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BB54D9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the flexibility in setting funding goals on each platform. Some platforms may require you to set a fixed funding goal that must be reached within the campaign period, while others offer flexible funding options where you can keep any funds raised, regardless of whether you meet your goal.</w:t>
            </w:r>
          </w:p>
        </w:tc>
        <w:tc>
          <w:tcPr>
            <w:tcW w:w="2566" w:type="dxa"/>
            <w:tcBorders>
              <w:top w:val="nil"/>
              <w:left w:val="nil"/>
              <w:bottom w:val="single" w:sz="4" w:space="0" w:color="auto"/>
              <w:right w:val="single" w:sz="4" w:space="0" w:color="auto"/>
            </w:tcBorders>
            <w:shd w:val="clear" w:color="auto" w:fill="auto"/>
            <w:hideMark/>
          </w:tcPr>
          <w:p w14:paraId="756D8A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8B2D9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FB7CA4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D7A00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22A95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your project's funding needs and financial goals when choosing between fixed and flexible funding models. Fixed funding may provide a sense of urgency and incentivize backers to support your project, while flexible funding allows you to access funds even if you don't reach your target.</w:t>
            </w:r>
          </w:p>
        </w:tc>
        <w:tc>
          <w:tcPr>
            <w:tcW w:w="2566" w:type="dxa"/>
            <w:tcBorders>
              <w:top w:val="nil"/>
              <w:left w:val="nil"/>
              <w:bottom w:val="single" w:sz="4" w:space="0" w:color="auto"/>
              <w:right w:val="single" w:sz="4" w:space="0" w:color="auto"/>
            </w:tcBorders>
            <w:shd w:val="clear" w:color="auto" w:fill="auto"/>
            <w:hideMark/>
          </w:tcPr>
          <w:p w14:paraId="53C68F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BAFEF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D61CFA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69126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Reward Tiers:</w:t>
            </w:r>
          </w:p>
        </w:tc>
        <w:tc>
          <w:tcPr>
            <w:tcW w:w="6762" w:type="dxa"/>
            <w:tcBorders>
              <w:top w:val="nil"/>
              <w:left w:val="nil"/>
              <w:bottom w:val="single" w:sz="4" w:space="0" w:color="auto"/>
              <w:right w:val="single" w:sz="4" w:space="0" w:color="auto"/>
            </w:tcBorders>
            <w:shd w:val="clear" w:color="auto" w:fill="auto"/>
            <w:hideMark/>
          </w:tcPr>
          <w:p w14:paraId="65F43BE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5AC07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AC856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7D397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5A9C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221D6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Explore the customization options for reward tiers on each platform. Reward tiers are incentives offered to backers based on their level of support, such as exclusive merchandise, early access to products, or personalized experiences.</w:t>
            </w:r>
          </w:p>
        </w:tc>
        <w:tc>
          <w:tcPr>
            <w:tcW w:w="2566" w:type="dxa"/>
            <w:tcBorders>
              <w:top w:val="nil"/>
              <w:left w:val="nil"/>
              <w:bottom w:val="single" w:sz="4" w:space="0" w:color="auto"/>
              <w:right w:val="single" w:sz="4" w:space="0" w:color="auto"/>
            </w:tcBorders>
            <w:shd w:val="clear" w:color="auto" w:fill="auto"/>
            <w:hideMark/>
          </w:tcPr>
          <w:p w14:paraId="3DCEE1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99900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98654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6480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7914C7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Customize your reward tiers to appeal to different segments of your target audience and provide tangible benefits that align with their interests and preferences. Consider offering a range of rewards at different price points to accommodate backers with varying levels of financial capacity.</w:t>
            </w:r>
          </w:p>
        </w:tc>
        <w:tc>
          <w:tcPr>
            <w:tcW w:w="2566" w:type="dxa"/>
            <w:tcBorders>
              <w:top w:val="nil"/>
              <w:left w:val="nil"/>
              <w:bottom w:val="single" w:sz="4" w:space="0" w:color="auto"/>
              <w:right w:val="single" w:sz="4" w:space="0" w:color="auto"/>
            </w:tcBorders>
            <w:shd w:val="clear" w:color="auto" w:fill="auto"/>
            <w:hideMark/>
          </w:tcPr>
          <w:p w14:paraId="0C30221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F90C1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737EA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20E8E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Campaign Updates:</w:t>
            </w:r>
          </w:p>
        </w:tc>
        <w:tc>
          <w:tcPr>
            <w:tcW w:w="6762" w:type="dxa"/>
            <w:tcBorders>
              <w:top w:val="nil"/>
              <w:left w:val="nil"/>
              <w:bottom w:val="single" w:sz="4" w:space="0" w:color="auto"/>
              <w:right w:val="single" w:sz="4" w:space="0" w:color="auto"/>
            </w:tcBorders>
            <w:shd w:val="clear" w:color="auto" w:fill="auto"/>
            <w:hideMark/>
          </w:tcPr>
          <w:p w14:paraId="0493539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2F981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D6211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55125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1C19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018EB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flexibility and accessibility of campaign updates on each platform. Campaign updates allow you to keep backers informed about the progress of your project, share important milestones, and express gratitude for their support.</w:t>
            </w:r>
          </w:p>
        </w:tc>
        <w:tc>
          <w:tcPr>
            <w:tcW w:w="2566" w:type="dxa"/>
            <w:tcBorders>
              <w:top w:val="nil"/>
              <w:left w:val="nil"/>
              <w:bottom w:val="single" w:sz="4" w:space="0" w:color="auto"/>
              <w:right w:val="single" w:sz="4" w:space="0" w:color="auto"/>
            </w:tcBorders>
            <w:shd w:val="clear" w:color="auto" w:fill="auto"/>
            <w:hideMark/>
          </w:tcPr>
          <w:p w14:paraId="20CC834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2574E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1C0AD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BF685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11B94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Choose a platform that offers easy-to-use tools for creating and sharing campaign updates, such as built-in messaging systems, email notifications, and social media integration. Ensure that backers can easily access and engage with your updates to stay informed and involved throughout the campaign.</w:t>
            </w:r>
          </w:p>
        </w:tc>
        <w:tc>
          <w:tcPr>
            <w:tcW w:w="2566" w:type="dxa"/>
            <w:tcBorders>
              <w:top w:val="nil"/>
              <w:left w:val="nil"/>
              <w:bottom w:val="single" w:sz="4" w:space="0" w:color="auto"/>
              <w:right w:val="single" w:sz="4" w:space="0" w:color="auto"/>
            </w:tcBorders>
            <w:shd w:val="clear" w:color="auto" w:fill="auto"/>
            <w:hideMark/>
          </w:tcPr>
          <w:p w14:paraId="43FDA8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DE6A8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902D53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BAF01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Examples of Flexibility and Customization:</w:t>
            </w:r>
          </w:p>
        </w:tc>
        <w:tc>
          <w:tcPr>
            <w:tcW w:w="6762" w:type="dxa"/>
            <w:tcBorders>
              <w:top w:val="nil"/>
              <w:left w:val="nil"/>
              <w:bottom w:val="single" w:sz="4" w:space="0" w:color="auto"/>
              <w:right w:val="single" w:sz="4" w:space="0" w:color="auto"/>
            </w:tcBorders>
            <w:shd w:val="clear" w:color="auto" w:fill="auto"/>
            <w:hideMark/>
          </w:tcPr>
          <w:p w14:paraId="6A9A141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00F5B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F8FEA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6A8C3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641A7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586AA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Study examples of successful crowdfunding campaigns that have effectively leveraged flexibility and customization options on each platform. Analyze how these campaigns tailored their duration, funding goals, reward tiers, and updates to resonate with their target audience and maximize engagement and support.</w:t>
            </w:r>
          </w:p>
        </w:tc>
        <w:tc>
          <w:tcPr>
            <w:tcW w:w="2566" w:type="dxa"/>
            <w:tcBorders>
              <w:top w:val="nil"/>
              <w:left w:val="nil"/>
              <w:bottom w:val="single" w:sz="4" w:space="0" w:color="auto"/>
              <w:right w:val="single" w:sz="4" w:space="0" w:color="auto"/>
            </w:tcBorders>
            <w:shd w:val="clear" w:color="auto" w:fill="auto"/>
            <w:hideMark/>
          </w:tcPr>
          <w:p w14:paraId="350042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80C45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C4D98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CFB0B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5BC70C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Learn from the strategies and tactics employed by these campaigns to adapt and optimize your own campaign for success. Take inspiration from the creative ways in which project creators have customized their campaigns to meet the specific needs and preferences of their backers and supporters.</w:t>
            </w:r>
          </w:p>
        </w:tc>
        <w:tc>
          <w:tcPr>
            <w:tcW w:w="2566" w:type="dxa"/>
            <w:tcBorders>
              <w:top w:val="nil"/>
              <w:left w:val="nil"/>
              <w:bottom w:val="single" w:sz="4" w:space="0" w:color="auto"/>
              <w:right w:val="single" w:sz="4" w:space="0" w:color="auto"/>
            </w:tcBorders>
            <w:shd w:val="clear" w:color="auto" w:fill="auto"/>
            <w:hideMark/>
          </w:tcPr>
          <w:p w14:paraId="493FFAA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0CEE8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FA3E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31855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Alignment with Project Goals:</w:t>
            </w:r>
          </w:p>
        </w:tc>
        <w:tc>
          <w:tcPr>
            <w:tcW w:w="6762" w:type="dxa"/>
            <w:tcBorders>
              <w:top w:val="nil"/>
              <w:left w:val="nil"/>
              <w:bottom w:val="single" w:sz="4" w:space="0" w:color="auto"/>
              <w:right w:val="single" w:sz="4" w:space="0" w:color="auto"/>
            </w:tcBorders>
            <w:shd w:val="clear" w:color="auto" w:fill="auto"/>
            <w:hideMark/>
          </w:tcPr>
          <w:p w14:paraId="79D45D3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30A3E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8D336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A284B3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DAA5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173FA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the flexibility and customization options offered by each platform align with your project's goals, values, and priorities. Choose platforms that empower you to tailor your campaign to meet the unique needs and preferences of your target audience while staying true to your project's vision and objectives.</w:t>
            </w:r>
          </w:p>
        </w:tc>
        <w:tc>
          <w:tcPr>
            <w:tcW w:w="2566" w:type="dxa"/>
            <w:tcBorders>
              <w:top w:val="nil"/>
              <w:left w:val="nil"/>
              <w:bottom w:val="single" w:sz="4" w:space="0" w:color="auto"/>
              <w:right w:val="single" w:sz="4" w:space="0" w:color="auto"/>
            </w:tcBorders>
            <w:shd w:val="clear" w:color="auto" w:fill="auto"/>
            <w:hideMark/>
          </w:tcPr>
          <w:p w14:paraId="1FF1BA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18AD6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EFA651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0404D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03945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Select platforms that offer the tools, resources, and guidance needed to effectively customize your campaign and maximize its impact and success. Look for platforms that prioritize user-friendly interfaces, comprehensive support services, and transparent communication to help you navigate the crowdfunding process with confidence and clarity.</w:t>
            </w:r>
          </w:p>
        </w:tc>
        <w:tc>
          <w:tcPr>
            <w:tcW w:w="2566" w:type="dxa"/>
            <w:tcBorders>
              <w:top w:val="nil"/>
              <w:left w:val="nil"/>
              <w:bottom w:val="single" w:sz="4" w:space="0" w:color="auto"/>
              <w:right w:val="single" w:sz="4" w:space="0" w:color="auto"/>
            </w:tcBorders>
            <w:shd w:val="clear" w:color="auto" w:fill="auto"/>
            <w:hideMark/>
          </w:tcPr>
          <w:p w14:paraId="702E0F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DF549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7C1465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B5915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948BF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9CB78A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032BC1" w14:textId="77777777" w:rsidTr="0041317E">
        <w:trPr>
          <w:trHeight w:val="2880"/>
        </w:trPr>
        <w:tc>
          <w:tcPr>
            <w:tcW w:w="1349" w:type="dxa"/>
            <w:tcBorders>
              <w:top w:val="nil"/>
              <w:left w:val="single" w:sz="4" w:space="0" w:color="auto"/>
              <w:bottom w:val="single" w:sz="4" w:space="0" w:color="auto"/>
              <w:right w:val="single" w:sz="4" w:space="0" w:color="auto"/>
            </w:tcBorders>
            <w:shd w:val="clear" w:color="auto" w:fill="auto"/>
            <w:hideMark/>
          </w:tcPr>
          <w:p w14:paraId="6BBCDCC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476D9E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8. Trust and Credibility: </w:t>
            </w:r>
          </w:p>
        </w:tc>
        <w:tc>
          <w:tcPr>
            <w:tcW w:w="6762" w:type="dxa"/>
            <w:tcBorders>
              <w:top w:val="nil"/>
              <w:left w:val="nil"/>
              <w:bottom w:val="single" w:sz="4" w:space="0" w:color="auto"/>
              <w:right w:val="single" w:sz="4" w:space="0" w:color="auto"/>
            </w:tcBorders>
            <w:shd w:val="clear" w:color="auto" w:fill="auto"/>
            <w:hideMark/>
          </w:tcPr>
          <w:p w14:paraId="5376903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Consider the trustworthiness and credibility of each platform, including user reviews, ratings, and testimonials from past project creators and backers. Choose a platform with a proven track record of facilitating successful campaigns and providing a secure and reliable crowdfunding experience.</w:t>
            </w:r>
          </w:p>
        </w:tc>
        <w:tc>
          <w:tcPr>
            <w:tcW w:w="2566" w:type="dxa"/>
            <w:tcBorders>
              <w:top w:val="nil"/>
              <w:left w:val="nil"/>
              <w:bottom w:val="single" w:sz="4" w:space="0" w:color="auto"/>
              <w:right w:val="single" w:sz="4" w:space="0" w:color="auto"/>
            </w:tcBorders>
            <w:shd w:val="clear" w:color="auto" w:fill="auto"/>
            <w:hideMark/>
          </w:tcPr>
          <w:p w14:paraId="068839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How will the books from the source initiatives become absorbed into the organization's books when all is started.  Is there a life-time debt?  How does one thank and move on from a source platform. Legal implications and state and federal tax requirements.</w:t>
            </w:r>
          </w:p>
        </w:tc>
      </w:tr>
      <w:tr w:rsidR="0041317E" w:rsidRPr="0041317E" w14:paraId="70E53B2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BB2636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9B590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User Reviews and Ratings:</w:t>
            </w:r>
          </w:p>
        </w:tc>
        <w:tc>
          <w:tcPr>
            <w:tcW w:w="6762" w:type="dxa"/>
            <w:tcBorders>
              <w:top w:val="nil"/>
              <w:left w:val="nil"/>
              <w:bottom w:val="single" w:sz="4" w:space="0" w:color="auto"/>
              <w:right w:val="single" w:sz="4" w:space="0" w:color="auto"/>
            </w:tcBorders>
            <w:shd w:val="clear" w:color="auto" w:fill="auto"/>
            <w:hideMark/>
          </w:tcPr>
          <w:p w14:paraId="53B344B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F6140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EB0A0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51B1DD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5560E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27371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thorough research on each crowdfunding platform to gather user reviews, ratings, and testimonials from both project creators and backers. Look for platforms that have consistently positive feedback and high ratings, indicating a positive user experience and successful campaign outcomes.</w:t>
            </w:r>
          </w:p>
        </w:tc>
        <w:tc>
          <w:tcPr>
            <w:tcW w:w="2566" w:type="dxa"/>
            <w:tcBorders>
              <w:top w:val="nil"/>
              <w:left w:val="nil"/>
              <w:bottom w:val="single" w:sz="4" w:space="0" w:color="auto"/>
              <w:right w:val="single" w:sz="4" w:space="0" w:color="auto"/>
            </w:tcBorders>
            <w:shd w:val="clear" w:color="auto" w:fill="auto"/>
            <w:hideMark/>
          </w:tcPr>
          <w:p w14:paraId="71E5B2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1BAB3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AECD9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595D9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E68B5B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Pay attention to specific comments and experiences shared by users, as they can provide valuable insights into the platform's strengths, weaknesses, and overall credibility. Consider platforms that have a large and active user community, as this can be indicative of a trustworthy and reputable platform.</w:t>
            </w:r>
          </w:p>
        </w:tc>
        <w:tc>
          <w:tcPr>
            <w:tcW w:w="2566" w:type="dxa"/>
            <w:tcBorders>
              <w:top w:val="nil"/>
              <w:left w:val="nil"/>
              <w:bottom w:val="single" w:sz="4" w:space="0" w:color="auto"/>
              <w:right w:val="single" w:sz="4" w:space="0" w:color="auto"/>
            </w:tcBorders>
            <w:shd w:val="clear" w:color="auto" w:fill="auto"/>
            <w:hideMark/>
          </w:tcPr>
          <w:p w14:paraId="3210D08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93BDF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28472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30A0A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Track Record of Success:</w:t>
            </w:r>
          </w:p>
        </w:tc>
        <w:tc>
          <w:tcPr>
            <w:tcW w:w="6762" w:type="dxa"/>
            <w:tcBorders>
              <w:top w:val="nil"/>
              <w:left w:val="nil"/>
              <w:bottom w:val="single" w:sz="4" w:space="0" w:color="auto"/>
              <w:right w:val="single" w:sz="4" w:space="0" w:color="auto"/>
            </w:tcBorders>
            <w:shd w:val="clear" w:color="auto" w:fill="auto"/>
            <w:hideMark/>
          </w:tcPr>
          <w:p w14:paraId="3A8F206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FDAAFB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C5D8F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5EBBF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24BE2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A0303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track record of each platform in facilitating successful crowdfunding campaigns, particularly in the scientific, mathematical, or technological fields. Look for platforms that have supported similar projects in the past and have a history of achieving funding goals and delivering results.</w:t>
            </w:r>
          </w:p>
        </w:tc>
        <w:tc>
          <w:tcPr>
            <w:tcW w:w="2566" w:type="dxa"/>
            <w:tcBorders>
              <w:top w:val="nil"/>
              <w:left w:val="nil"/>
              <w:bottom w:val="single" w:sz="4" w:space="0" w:color="auto"/>
              <w:right w:val="single" w:sz="4" w:space="0" w:color="auto"/>
            </w:tcBorders>
            <w:shd w:val="clear" w:color="auto" w:fill="auto"/>
            <w:hideMark/>
          </w:tcPr>
          <w:p w14:paraId="3865A7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1F1C6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72052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14126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312D42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Study case studies and success stories of projects that have been successfully funded on each platform, paying attention to factors such as funding amounts, campaign strategies, and engagement tactics. Choose platforms that have a demonstrated ability to attract backers and support innovative projects.</w:t>
            </w:r>
          </w:p>
        </w:tc>
        <w:tc>
          <w:tcPr>
            <w:tcW w:w="2566" w:type="dxa"/>
            <w:tcBorders>
              <w:top w:val="nil"/>
              <w:left w:val="nil"/>
              <w:bottom w:val="single" w:sz="4" w:space="0" w:color="auto"/>
              <w:right w:val="single" w:sz="4" w:space="0" w:color="auto"/>
            </w:tcBorders>
            <w:shd w:val="clear" w:color="auto" w:fill="auto"/>
            <w:hideMark/>
          </w:tcPr>
          <w:p w14:paraId="1461DB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68FAE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990AE5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7C6E0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Security and Reliability:</w:t>
            </w:r>
          </w:p>
        </w:tc>
        <w:tc>
          <w:tcPr>
            <w:tcW w:w="6762" w:type="dxa"/>
            <w:tcBorders>
              <w:top w:val="nil"/>
              <w:left w:val="nil"/>
              <w:bottom w:val="single" w:sz="4" w:space="0" w:color="auto"/>
              <w:right w:val="single" w:sz="4" w:space="0" w:color="auto"/>
            </w:tcBorders>
            <w:shd w:val="clear" w:color="auto" w:fill="auto"/>
            <w:hideMark/>
          </w:tcPr>
          <w:p w14:paraId="569523F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2924B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8C23B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36E168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62419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17BC2F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Prioritize platforms that prioritize security and reliability to ensure a safe and trustworthy crowdfunding experience for both project creators and backers. Look for platforms that use secure payment processing systems, encryption protocols, and data protection measures to safeguard sensitive information and transactions.</w:t>
            </w:r>
          </w:p>
        </w:tc>
        <w:tc>
          <w:tcPr>
            <w:tcW w:w="2566" w:type="dxa"/>
            <w:tcBorders>
              <w:top w:val="nil"/>
              <w:left w:val="nil"/>
              <w:bottom w:val="single" w:sz="4" w:space="0" w:color="auto"/>
              <w:right w:val="single" w:sz="4" w:space="0" w:color="auto"/>
            </w:tcBorders>
            <w:shd w:val="clear" w:color="auto" w:fill="auto"/>
            <w:hideMark/>
          </w:tcPr>
          <w:p w14:paraId="43F3F1B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8A418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B41F19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DE728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DD1C6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Verify that the platform has robust policies and procedures in place to prevent fraud, mitigate risks, and resolve disputes between project creators and backers. Choose platforms that are transparent about their security practices and provide clear guidelines for protecting user privacy and financial information.</w:t>
            </w:r>
          </w:p>
        </w:tc>
        <w:tc>
          <w:tcPr>
            <w:tcW w:w="2566" w:type="dxa"/>
            <w:tcBorders>
              <w:top w:val="nil"/>
              <w:left w:val="nil"/>
              <w:bottom w:val="single" w:sz="4" w:space="0" w:color="auto"/>
              <w:right w:val="single" w:sz="4" w:space="0" w:color="auto"/>
            </w:tcBorders>
            <w:shd w:val="clear" w:color="auto" w:fill="auto"/>
            <w:hideMark/>
          </w:tcPr>
          <w:p w14:paraId="509815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E1A6B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3FFC36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F7786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Legal Implications and Compliance:</w:t>
            </w:r>
          </w:p>
        </w:tc>
        <w:tc>
          <w:tcPr>
            <w:tcW w:w="6762" w:type="dxa"/>
            <w:tcBorders>
              <w:top w:val="nil"/>
              <w:left w:val="nil"/>
              <w:bottom w:val="single" w:sz="4" w:space="0" w:color="auto"/>
              <w:right w:val="single" w:sz="4" w:space="0" w:color="auto"/>
            </w:tcBorders>
            <w:shd w:val="clear" w:color="auto" w:fill="auto"/>
            <w:hideMark/>
          </w:tcPr>
          <w:p w14:paraId="51D3775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960F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B2530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EC4B80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D4DBC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FF549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legal implications and compliance requirements associated with each crowdfunding platform, including state and federal regulations governing fundraising activities, tax obligations, and intellectual property rights.</w:t>
            </w:r>
          </w:p>
        </w:tc>
        <w:tc>
          <w:tcPr>
            <w:tcW w:w="2566" w:type="dxa"/>
            <w:tcBorders>
              <w:top w:val="nil"/>
              <w:left w:val="nil"/>
              <w:bottom w:val="single" w:sz="4" w:space="0" w:color="auto"/>
              <w:right w:val="single" w:sz="4" w:space="0" w:color="auto"/>
            </w:tcBorders>
            <w:shd w:val="clear" w:color="auto" w:fill="auto"/>
            <w:hideMark/>
          </w:tcPr>
          <w:p w14:paraId="115C86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CB27C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526F3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52A1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6F97C5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Consult with legal professionals or financial advisors to ensure that you fully understand the legal implications of using each platform and comply with all relevant laws and regulations. Choose platforms that provide comprehensive guidance and resources to help project creators navigate legal and regulatory issues effectively.</w:t>
            </w:r>
          </w:p>
        </w:tc>
        <w:tc>
          <w:tcPr>
            <w:tcW w:w="2566" w:type="dxa"/>
            <w:tcBorders>
              <w:top w:val="nil"/>
              <w:left w:val="nil"/>
              <w:bottom w:val="single" w:sz="4" w:space="0" w:color="auto"/>
              <w:right w:val="single" w:sz="4" w:space="0" w:color="auto"/>
            </w:tcBorders>
            <w:shd w:val="clear" w:color="auto" w:fill="auto"/>
            <w:hideMark/>
          </w:tcPr>
          <w:p w14:paraId="1C24D3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03CDC5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BC30D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DDADE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Transition and Accountability:</w:t>
            </w:r>
          </w:p>
        </w:tc>
        <w:tc>
          <w:tcPr>
            <w:tcW w:w="6762" w:type="dxa"/>
            <w:tcBorders>
              <w:top w:val="nil"/>
              <w:left w:val="nil"/>
              <w:bottom w:val="single" w:sz="4" w:space="0" w:color="auto"/>
              <w:right w:val="single" w:sz="4" w:space="0" w:color="auto"/>
            </w:tcBorders>
            <w:shd w:val="clear" w:color="auto" w:fill="auto"/>
            <w:hideMark/>
          </w:tcPr>
          <w:p w14:paraId="1764302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997664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EE8EE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9DE926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A3899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EE1DEE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plan for transitioning funds and assets from the crowdfunding platform to your organization's books once the campaign is completed. Ensure that you maintain accurate records and documentation of all financial transactions, expenses, and income generated through the campaign.</w:t>
            </w:r>
          </w:p>
        </w:tc>
        <w:tc>
          <w:tcPr>
            <w:tcW w:w="2566" w:type="dxa"/>
            <w:tcBorders>
              <w:top w:val="nil"/>
              <w:left w:val="nil"/>
              <w:bottom w:val="single" w:sz="4" w:space="0" w:color="auto"/>
              <w:right w:val="single" w:sz="4" w:space="0" w:color="auto"/>
            </w:tcBorders>
            <w:shd w:val="clear" w:color="auto" w:fill="auto"/>
            <w:hideMark/>
          </w:tcPr>
          <w:p w14:paraId="5A30886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0A9C5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4ECC4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2BFC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79F9A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Establish clear accountability measures and procedures for managing funds raised through the crowdfunding platform, including regular financial reporting, audits, and compliance checks. Communicate transparently with backers and stakeholders about how funds will be used and allocated to ensure trust and credibility throughout the crowdfunding process.</w:t>
            </w:r>
          </w:p>
        </w:tc>
        <w:tc>
          <w:tcPr>
            <w:tcW w:w="2566" w:type="dxa"/>
            <w:tcBorders>
              <w:top w:val="nil"/>
              <w:left w:val="nil"/>
              <w:bottom w:val="single" w:sz="4" w:space="0" w:color="auto"/>
              <w:right w:val="single" w:sz="4" w:space="0" w:color="auto"/>
            </w:tcBorders>
            <w:shd w:val="clear" w:color="auto" w:fill="auto"/>
            <w:hideMark/>
          </w:tcPr>
          <w:p w14:paraId="466C19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6DE8D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E1D40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43285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702D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47D77E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A4339F" w14:textId="77777777" w:rsidTr="0041317E">
        <w:trPr>
          <w:trHeight w:val="3456"/>
        </w:trPr>
        <w:tc>
          <w:tcPr>
            <w:tcW w:w="1349" w:type="dxa"/>
            <w:tcBorders>
              <w:top w:val="nil"/>
              <w:left w:val="single" w:sz="4" w:space="0" w:color="auto"/>
              <w:bottom w:val="single" w:sz="4" w:space="0" w:color="auto"/>
              <w:right w:val="single" w:sz="4" w:space="0" w:color="auto"/>
            </w:tcBorders>
            <w:shd w:val="clear" w:color="auto" w:fill="auto"/>
            <w:hideMark/>
          </w:tcPr>
          <w:p w14:paraId="1F8B07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33B63EA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9. Legal and Compliance Considerations: </w:t>
            </w:r>
          </w:p>
        </w:tc>
        <w:tc>
          <w:tcPr>
            <w:tcW w:w="6762" w:type="dxa"/>
            <w:tcBorders>
              <w:top w:val="nil"/>
              <w:left w:val="nil"/>
              <w:bottom w:val="single" w:sz="4" w:space="0" w:color="auto"/>
              <w:right w:val="single" w:sz="4" w:space="0" w:color="auto"/>
            </w:tcBorders>
            <w:shd w:val="clear" w:color="auto" w:fill="auto"/>
            <w:hideMark/>
          </w:tcPr>
          <w:p w14:paraId="718D581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Ensure that your chosen platform complies with legal and regulatory requirements for crowdfunding campaigns, including tax implications, fundraising regulations, and terms of service. Review the platform's terms and conditions carefully to understand your rights and obligations as a project creator.</w:t>
            </w:r>
          </w:p>
        </w:tc>
        <w:tc>
          <w:tcPr>
            <w:tcW w:w="2566" w:type="dxa"/>
            <w:tcBorders>
              <w:top w:val="nil"/>
              <w:left w:val="nil"/>
              <w:bottom w:val="single" w:sz="4" w:space="0" w:color="auto"/>
              <w:right w:val="single" w:sz="4" w:space="0" w:color="auto"/>
            </w:tcBorders>
            <w:shd w:val="clear" w:color="auto" w:fill="auto"/>
            <w:hideMark/>
          </w:tcPr>
          <w:p w14:paraId="56794D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What am I promising to?  The organizational structures of PrimeBookOne, Antikytherian, and Tardigradia are each different, an open Committee Project, a Business App, and a Family Fun Center.  What would the investors be expecting in return?</w:t>
            </w:r>
          </w:p>
        </w:tc>
      </w:tr>
      <w:tr w:rsidR="0041317E" w:rsidRPr="0041317E" w14:paraId="47AA277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45D003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DE840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Tax Implications:</w:t>
            </w:r>
          </w:p>
        </w:tc>
        <w:tc>
          <w:tcPr>
            <w:tcW w:w="6762" w:type="dxa"/>
            <w:tcBorders>
              <w:top w:val="nil"/>
              <w:left w:val="nil"/>
              <w:bottom w:val="single" w:sz="4" w:space="0" w:color="auto"/>
              <w:right w:val="single" w:sz="4" w:space="0" w:color="auto"/>
            </w:tcBorders>
            <w:shd w:val="clear" w:color="auto" w:fill="auto"/>
            <w:hideMark/>
          </w:tcPr>
          <w:p w14:paraId="197B6A3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EA694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D3239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5BA0F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039F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03DAC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Before launching a crowdfunding campaign, it's crucial to understand the tax implications associated with raising funds through the chosen platform. Consult with tax professionals or financial advisors to ensure compliance with state and federal tax laws, including income tax, sales tax, and reporting requirements.</w:t>
            </w:r>
          </w:p>
        </w:tc>
        <w:tc>
          <w:tcPr>
            <w:tcW w:w="2566" w:type="dxa"/>
            <w:tcBorders>
              <w:top w:val="nil"/>
              <w:left w:val="nil"/>
              <w:bottom w:val="single" w:sz="4" w:space="0" w:color="auto"/>
              <w:right w:val="single" w:sz="4" w:space="0" w:color="auto"/>
            </w:tcBorders>
            <w:shd w:val="clear" w:color="auto" w:fill="auto"/>
            <w:hideMark/>
          </w:tcPr>
          <w:p w14:paraId="1AED54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410DC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80804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A972D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A768D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Determine whether the funds raised through the crowdfunding campaign will be considered taxable income and whether any exemptions or deductions apply based on the nature of the project, the funding model, and the jurisdiction in which the campaign operates.</w:t>
            </w:r>
          </w:p>
        </w:tc>
        <w:tc>
          <w:tcPr>
            <w:tcW w:w="2566" w:type="dxa"/>
            <w:tcBorders>
              <w:top w:val="nil"/>
              <w:left w:val="nil"/>
              <w:bottom w:val="single" w:sz="4" w:space="0" w:color="auto"/>
              <w:right w:val="single" w:sz="4" w:space="0" w:color="auto"/>
            </w:tcBorders>
            <w:shd w:val="clear" w:color="auto" w:fill="auto"/>
            <w:hideMark/>
          </w:tcPr>
          <w:p w14:paraId="7A6DC5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91759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AB9D3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FE15E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Fundraising Regulations:</w:t>
            </w:r>
          </w:p>
        </w:tc>
        <w:tc>
          <w:tcPr>
            <w:tcW w:w="6762" w:type="dxa"/>
            <w:tcBorders>
              <w:top w:val="nil"/>
              <w:left w:val="nil"/>
              <w:bottom w:val="single" w:sz="4" w:space="0" w:color="auto"/>
              <w:right w:val="single" w:sz="4" w:space="0" w:color="auto"/>
            </w:tcBorders>
            <w:shd w:val="clear" w:color="auto" w:fill="auto"/>
            <w:hideMark/>
          </w:tcPr>
          <w:p w14:paraId="7F9B9AA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F89FBE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7A5BF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65986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9C5C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A5885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Research the fundraising regulations and legal requirements governing crowdfunding campaigns in your jurisdiction, as well as any applicable laws and regulations in the jurisdiction where the chosen platform is based. Ensure compliance with all relevant laws and regulations, including securities laws, consumer protection laws, and fundraising disclosure requirements.</w:t>
            </w:r>
          </w:p>
        </w:tc>
        <w:tc>
          <w:tcPr>
            <w:tcW w:w="2566" w:type="dxa"/>
            <w:tcBorders>
              <w:top w:val="nil"/>
              <w:left w:val="nil"/>
              <w:bottom w:val="single" w:sz="4" w:space="0" w:color="auto"/>
              <w:right w:val="single" w:sz="4" w:space="0" w:color="auto"/>
            </w:tcBorders>
            <w:shd w:val="clear" w:color="auto" w:fill="auto"/>
            <w:hideMark/>
          </w:tcPr>
          <w:p w14:paraId="496D9F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46C26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A278B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2D9BC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BD790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Review the platform's terms and conditions, privacy policy, and community guidelines to ensure that your campaign complies with the platform's rules and regulations. Be aware of any restrictions or limitations on fundraising activities, promotional tactics, or campaign content imposed by the platform.</w:t>
            </w:r>
          </w:p>
        </w:tc>
        <w:tc>
          <w:tcPr>
            <w:tcW w:w="2566" w:type="dxa"/>
            <w:tcBorders>
              <w:top w:val="nil"/>
              <w:left w:val="nil"/>
              <w:bottom w:val="single" w:sz="4" w:space="0" w:color="auto"/>
              <w:right w:val="single" w:sz="4" w:space="0" w:color="auto"/>
            </w:tcBorders>
            <w:shd w:val="clear" w:color="auto" w:fill="auto"/>
            <w:hideMark/>
          </w:tcPr>
          <w:p w14:paraId="49D9F9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B8A2B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79BD3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048AE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Terms of Service:</w:t>
            </w:r>
          </w:p>
        </w:tc>
        <w:tc>
          <w:tcPr>
            <w:tcW w:w="6762" w:type="dxa"/>
            <w:tcBorders>
              <w:top w:val="nil"/>
              <w:left w:val="nil"/>
              <w:bottom w:val="single" w:sz="4" w:space="0" w:color="auto"/>
              <w:right w:val="single" w:sz="4" w:space="0" w:color="auto"/>
            </w:tcBorders>
            <w:shd w:val="clear" w:color="auto" w:fill="auto"/>
            <w:hideMark/>
          </w:tcPr>
          <w:p w14:paraId="5950B5E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85F226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6F38D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A4613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718AF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ECFF4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Carefully review the platform's terms of service, user agreement, and policies to understand your rights and obligations as a project creator. Pay attention to provisions related to fees, payment processing, intellectual property rights, liability, and dispute resolution.</w:t>
            </w:r>
          </w:p>
        </w:tc>
        <w:tc>
          <w:tcPr>
            <w:tcW w:w="2566" w:type="dxa"/>
            <w:tcBorders>
              <w:top w:val="nil"/>
              <w:left w:val="nil"/>
              <w:bottom w:val="single" w:sz="4" w:space="0" w:color="auto"/>
              <w:right w:val="single" w:sz="4" w:space="0" w:color="auto"/>
            </w:tcBorders>
            <w:shd w:val="clear" w:color="auto" w:fill="auto"/>
            <w:hideMark/>
          </w:tcPr>
          <w:p w14:paraId="1A09D6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181EB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3E372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ADA59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B792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Clarify any ambiguities or uncertainties in the platform's terms of service by seeking clarification from the platform's customer support team or legal advisors. Ensure that you fully understand the terms and conditions governing your use of the platform and the rights and responsibilities of both parties.</w:t>
            </w:r>
          </w:p>
        </w:tc>
        <w:tc>
          <w:tcPr>
            <w:tcW w:w="2566" w:type="dxa"/>
            <w:tcBorders>
              <w:top w:val="nil"/>
              <w:left w:val="nil"/>
              <w:bottom w:val="single" w:sz="4" w:space="0" w:color="auto"/>
              <w:right w:val="single" w:sz="4" w:space="0" w:color="auto"/>
            </w:tcBorders>
            <w:shd w:val="clear" w:color="auto" w:fill="auto"/>
            <w:hideMark/>
          </w:tcPr>
          <w:p w14:paraId="2C8BDF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7BF62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15F2ED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95D31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Investor Expectations:</w:t>
            </w:r>
          </w:p>
        </w:tc>
        <w:tc>
          <w:tcPr>
            <w:tcW w:w="6762" w:type="dxa"/>
            <w:tcBorders>
              <w:top w:val="nil"/>
              <w:left w:val="nil"/>
              <w:bottom w:val="single" w:sz="4" w:space="0" w:color="auto"/>
              <w:right w:val="single" w:sz="4" w:space="0" w:color="auto"/>
            </w:tcBorders>
            <w:shd w:val="clear" w:color="auto" w:fill="auto"/>
            <w:hideMark/>
          </w:tcPr>
          <w:p w14:paraId="6DCEF38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761D0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99D3F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49E61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0F3B9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6E3D1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Clearly communicate with potential backers and investors about the terms and conditions of your crowdfunding campaign, including any rewards, perks, or incentives offered in exchange for their support. Be transparent about the expected outcomes, risks, and challenges associated with the project, and provide regular updates and progress reports to keep backers informed.</w:t>
            </w:r>
          </w:p>
        </w:tc>
        <w:tc>
          <w:tcPr>
            <w:tcW w:w="2566" w:type="dxa"/>
            <w:tcBorders>
              <w:top w:val="nil"/>
              <w:left w:val="nil"/>
              <w:bottom w:val="single" w:sz="4" w:space="0" w:color="auto"/>
              <w:right w:val="single" w:sz="4" w:space="0" w:color="auto"/>
            </w:tcBorders>
            <w:shd w:val="clear" w:color="auto" w:fill="auto"/>
            <w:hideMark/>
          </w:tcPr>
          <w:p w14:paraId="6A2A73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8566A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D648D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9F10C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53C98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Manage investor expectations by setting realistic funding goals, timelines, and deliverables for the project. Clearly outline the benefits and value proposition for backers, including any financial returns, product discounts, or exclusive access offered as incentives for supporting the campaign.</w:t>
            </w:r>
          </w:p>
        </w:tc>
        <w:tc>
          <w:tcPr>
            <w:tcW w:w="2566" w:type="dxa"/>
            <w:tcBorders>
              <w:top w:val="nil"/>
              <w:left w:val="nil"/>
              <w:bottom w:val="single" w:sz="4" w:space="0" w:color="auto"/>
              <w:right w:val="single" w:sz="4" w:space="0" w:color="auto"/>
            </w:tcBorders>
            <w:shd w:val="clear" w:color="auto" w:fill="auto"/>
            <w:hideMark/>
          </w:tcPr>
          <w:p w14:paraId="536750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589FC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1BED9B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B360A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Risk Mitigation:</w:t>
            </w:r>
          </w:p>
        </w:tc>
        <w:tc>
          <w:tcPr>
            <w:tcW w:w="6762" w:type="dxa"/>
            <w:tcBorders>
              <w:top w:val="nil"/>
              <w:left w:val="nil"/>
              <w:bottom w:val="single" w:sz="4" w:space="0" w:color="auto"/>
              <w:right w:val="single" w:sz="4" w:space="0" w:color="auto"/>
            </w:tcBorders>
            <w:shd w:val="clear" w:color="auto" w:fill="auto"/>
            <w:hideMark/>
          </w:tcPr>
          <w:p w14:paraId="698ED2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3B271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E8760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9F5CAF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7838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17A2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risk management strategy to mitigate potential legal and compliance risks associated with the crowdfunding campaign. Identify potential legal pitfalls, regulatory challenges, and liability exposures, and take proactive measures to address and mitigate these risks.</w:t>
            </w:r>
          </w:p>
        </w:tc>
        <w:tc>
          <w:tcPr>
            <w:tcW w:w="2566" w:type="dxa"/>
            <w:tcBorders>
              <w:top w:val="nil"/>
              <w:left w:val="nil"/>
              <w:bottom w:val="single" w:sz="4" w:space="0" w:color="auto"/>
              <w:right w:val="single" w:sz="4" w:space="0" w:color="auto"/>
            </w:tcBorders>
            <w:shd w:val="clear" w:color="auto" w:fill="auto"/>
            <w:hideMark/>
          </w:tcPr>
          <w:p w14:paraId="55B38B0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A0058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8060F5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875A0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961EE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Consult with legal professionals, financial advisors, and industry experts to assess the legal and compliance risks associated with the project and implement appropriate risk mitigation measures. Be prepared to adapt and adjust your strategy as needed to ensure ongoing compliance with changing laws and regulations.</w:t>
            </w:r>
          </w:p>
        </w:tc>
        <w:tc>
          <w:tcPr>
            <w:tcW w:w="2566" w:type="dxa"/>
            <w:tcBorders>
              <w:top w:val="nil"/>
              <w:left w:val="nil"/>
              <w:bottom w:val="single" w:sz="4" w:space="0" w:color="auto"/>
              <w:right w:val="single" w:sz="4" w:space="0" w:color="auto"/>
            </w:tcBorders>
            <w:shd w:val="clear" w:color="auto" w:fill="auto"/>
            <w:hideMark/>
          </w:tcPr>
          <w:p w14:paraId="742B71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28484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30221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CB400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Due Diligence:</w:t>
            </w:r>
          </w:p>
        </w:tc>
        <w:tc>
          <w:tcPr>
            <w:tcW w:w="6762" w:type="dxa"/>
            <w:tcBorders>
              <w:top w:val="nil"/>
              <w:left w:val="nil"/>
              <w:bottom w:val="single" w:sz="4" w:space="0" w:color="auto"/>
              <w:right w:val="single" w:sz="4" w:space="0" w:color="auto"/>
            </w:tcBorders>
            <w:shd w:val="clear" w:color="auto" w:fill="auto"/>
            <w:hideMark/>
          </w:tcPr>
          <w:p w14:paraId="576520C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DA7DF2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E28DB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069FB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D0F61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7DBE6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due diligence on the chosen crowdfunding platform to verify its legitimacy, reputation, and track record. Research the platform's history, past performance, and user feedback to assess its reliability, trustworthiness, and credibility.</w:t>
            </w:r>
          </w:p>
        </w:tc>
        <w:tc>
          <w:tcPr>
            <w:tcW w:w="2566" w:type="dxa"/>
            <w:tcBorders>
              <w:top w:val="nil"/>
              <w:left w:val="nil"/>
              <w:bottom w:val="single" w:sz="4" w:space="0" w:color="auto"/>
              <w:right w:val="single" w:sz="4" w:space="0" w:color="auto"/>
            </w:tcBorders>
            <w:shd w:val="clear" w:color="auto" w:fill="auto"/>
            <w:hideMark/>
          </w:tcPr>
          <w:p w14:paraId="2DFF3D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58137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563EA1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18662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147C7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platform's compliance with industry standards, best practices, and regulatory requirements for crowdfunding campaigns. Look for platforms that prioritize transparency, accountability, and user protection to ensure a safe and secure crowdfunding experience for both project creators and backers.</w:t>
            </w:r>
          </w:p>
        </w:tc>
        <w:tc>
          <w:tcPr>
            <w:tcW w:w="2566" w:type="dxa"/>
            <w:tcBorders>
              <w:top w:val="nil"/>
              <w:left w:val="nil"/>
              <w:bottom w:val="single" w:sz="4" w:space="0" w:color="auto"/>
              <w:right w:val="single" w:sz="4" w:space="0" w:color="auto"/>
            </w:tcBorders>
            <w:shd w:val="clear" w:color="auto" w:fill="auto"/>
            <w:hideMark/>
          </w:tcPr>
          <w:p w14:paraId="20F739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CF612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8EF79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18B35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A57C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3A82CE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7E30B3" w14:textId="77777777" w:rsidTr="0041317E">
        <w:trPr>
          <w:trHeight w:val="3456"/>
        </w:trPr>
        <w:tc>
          <w:tcPr>
            <w:tcW w:w="1349" w:type="dxa"/>
            <w:tcBorders>
              <w:top w:val="nil"/>
              <w:left w:val="single" w:sz="4" w:space="0" w:color="auto"/>
              <w:bottom w:val="single" w:sz="4" w:space="0" w:color="auto"/>
              <w:right w:val="single" w:sz="4" w:space="0" w:color="auto"/>
            </w:tcBorders>
            <w:shd w:val="clear" w:color="auto" w:fill="auto"/>
            <w:hideMark/>
          </w:tcPr>
          <w:p w14:paraId="7FCFCB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61B4154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10. Multichannel Promotion and Integration: </w:t>
            </w:r>
          </w:p>
        </w:tc>
        <w:tc>
          <w:tcPr>
            <w:tcW w:w="6762" w:type="dxa"/>
            <w:tcBorders>
              <w:top w:val="nil"/>
              <w:left w:val="nil"/>
              <w:bottom w:val="single" w:sz="4" w:space="0" w:color="auto"/>
              <w:right w:val="single" w:sz="4" w:space="0" w:color="auto"/>
            </w:tcBorders>
            <w:shd w:val="clear" w:color="auto" w:fill="auto"/>
            <w:hideMark/>
          </w:tcPr>
          <w:p w14:paraId="54A25C2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Explore options for multichannel promotion and integration, such as social media integration, email marketing tools, and analytics tracking. Choose a platform that offers seamless integration with your existing marketing channels and allows you to amplify your campaign reach through targeted outreach and engagement strategies.</w:t>
            </w:r>
          </w:p>
        </w:tc>
        <w:tc>
          <w:tcPr>
            <w:tcW w:w="2566" w:type="dxa"/>
            <w:tcBorders>
              <w:top w:val="nil"/>
              <w:left w:val="nil"/>
              <w:bottom w:val="single" w:sz="4" w:space="0" w:color="auto"/>
              <w:right w:val="single" w:sz="4" w:space="0" w:color="auto"/>
            </w:tcBorders>
            <w:shd w:val="clear" w:color="auto" w:fill="auto"/>
            <w:hideMark/>
          </w:tcPr>
          <w:p w14:paraId="73B71A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Find the awareness upon multiple avenues and harness the ability to have more active users the value in the product PrimeBookOne increases.  Find methods for showing prime-certificates are more valuable to the universe than any crypto.  Full scale sell as possible replacement to base-less blockchain.</w:t>
            </w:r>
          </w:p>
        </w:tc>
      </w:tr>
      <w:tr w:rsidR="0041317E" w:rsidRPr="0041317E" w14:paraId="6ABD362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E1F202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21BCA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Social Media Integration:</w:t>
            </w:r>
          </w:p>
        </w:tc>
        <w:tc>
          <w:tcPr>
            <w:tcW w:w="6762" w:type="dxa"/>
            <w:tcBorders>
              <w:top w:val="nil"/>
              <w:left w:val="nil"/>
              <w:bottom w:val="single" w:sz="4" w:space="0" w:color="auto"/>
              <w:right w:val="single" w:sz="4" w:space="0" w:color="auto"/>
            </w:tcBorders>
            <w:shd w:val="clear" w:color="auto" w:fill="auto"/>
            <w:hideMark/>
          </w:tcPr>
          <w:p w14:paraId="784E50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F6E04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720D2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7D436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3B209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5E304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social media platforms such as Facebook, Twitter, LinkedIn, Instagram, and TikTok to amplify your crowdfunding campaign's reach and engage with potential backers. Create dedicated profiles or pages for your project and regularly share updates, progress reports, and promotional content to build awareness and generate interest.</w:t>
            </w:r>
          </w:p>
        </w:tc>
        <w:tc>
          <w:tcPr>
            <w:tcW w:w="2566" w:type="dxa"/>
            <w:tcBorders>
              <w:top w:val="nil"/>
              <w:left w:val="nil"/>
              <w:bottom w:val="single" w:sz="4" w:space="0" w:color="auto"/>
              <w:right w:val="single" w:sz="4" w:space="0" w:color="auto"/>
            </w:tcBorders>
            <w:shd w:val="clear" w:color="auto" w:fill="auto"/>
            <w:hideMark/>
          </w:tcPr>
          <w:p w14:paraId="6E6ECB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28AD3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16F0B8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1AE22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E6312B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social media advertising tools and sponsored posts to target specific audience segments, demographics, and interest groups most likely to be interested in supporting your project. Experiment with different ad formats, targeting options, and messaging strategies to optimize campaign performance and maximize ROI.</w:t>
            </w:r>
          </w:p>
        </w:tc>
        <w:tc>
          <w:tcPr>
            <w:tcW w:w="2566" w:type="dxa"/>
            <w:tcBorders>
              <w:top w:val="nil"/>
              <w:left w:val="nil"/>
              <w:bottom w:val="single" w:sz="4" w:space="0" w:color="auto"/>
              <w:right w:val="single" w:sz="4" w:space="0" w:color="auto"/>
            </w:tcBorders>
            <w:shd w:val="clear" w:color="auto" w:fill="auto"/>
            <w:hideMark/>
          </w:tcPr>
          <w:p w14:paraId="59D2C0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CD2EF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8A87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6BD6A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Email Marketing Tools:</w:t>
            </w:r>
          </w:p>
        </w:tc>
        <w:tc>
          <w:tcPr>
            <w:tcW w:w="6762" w:type="dxa"/>
            <w:tcBorders>
              <w:top w:val="nil"/>
              <w:left w:val="nil"/>
              <w:bottom w:val="single" w:sz="4" w:space="0" w:color="auto"/>
              <w:right w:val="single" w:sz="4" w:space="0" w:color="auto"/>
            </w:tcBorders>
            <w:shd w:val="clear" w:color="auto" w:fill="auto"/>
            <w:hideMark/>
          </w:tcPr>
          <w:p w14:paraId="3117028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AC926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C0609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79022D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95228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59F35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Build an email list of subscribers, supporters, and interested individuals who have expressed interest in your project or signed up for updates. Use email marketing tools such as Mailchimp, Constant Contact, or Sendinblue to create and distribute personalized email campaigns, newsletters, and announcements to your audience.</w:t>
            </w:r>
          </w:p>
        </w:tc>
        <w:tc>
          <w:tcPr>
            <w:tcW w:w="2566" w:type="dxa"/>
            <w:tcBorders>
              <w:top w:val="nil"/>
              <w:left w:val="nil"/>
              <w:bottom w:val="single" w:sz="4" w:space="0" w:color="auto"/>
              <w:right w:val="single" w:sz="4" w:space="0" w:color="auto"/>
            </w:tcBorders>
            <w:shd w:val="clear" w:color="auto" w:fill="auto"/>
            <w:hideMark/>
          </w:tcPr>
          <w:p w14:paraId="10D89B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9D059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F4757A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FA7BB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A699B8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 your email list based on user preferences, engagement levels, and fundraising status to deliver targeted messages and offers that resonate with each segment. Use A/B testing and analytics to optimize email content, subject lines, and call-to-action buttons for maximum impact and conversion rates.</w:t>
            </w:r>
          </w:p>
        </w:tc>
        <w:tc>
          <w:tcPr>
            <w:tcW w:w="2566" w:type="dxa"/>
            <w:tcBorders>
              <w:top w:val="nil"/>
              <w:left w:val="nil"/>
              <w:bottom w:val="single" w:sz="4" w:space="0" w:color="auto"/>
              <w:right w:val="single" w:sz="4" w:space="0" w:color="auto"/>
            </w:tcBorders>
            <w:shd w:val="clear" w:color="auto" w:fill="auto"/>
            <w:hideMark/>
          </w:tcPr>
          <w:p w14:paraId="707FBDB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B84CD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5ED61D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CEDD5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Analytics Tracking:</w:t>
            </w:r>
          </w:p>
        </w:tc>
        <w:tc>
          <w:tcPr>
            <w:tcW w:w="6762" w:type="dxa"/>
            <w:tcBorders>
              <w:top w:val="nil"/>
              <w:left w:val="nil"/>
              <w:bottom w:val="single" w:sz="4" w:space="0" w:color="auto"/>
              <w:right w:val="single" w:sz="4" w:space="0" w:color="auto"/>
            </w:tcBorders>
            <w:shd w:val="clear" w:color="auto" w:fill="auto"/>
            <w:hideMark/>
          </w:tcPr>
          <w:p w14:paraId="510EAFB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B7800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18721D"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A680D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CA64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74B6A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analytics tracking and monitoring tools such as Google Analytics, Facebook Pixel, or Hotjar to track user engagement, website traffic, and conversion metrics associated with your crowdfunding campaign. Set up conversion tracking goals, event tracking, and funnel analysis to measure the effectiveness of your marketing efforts and identify areas for improvement.</w:t>
            </w:r>
          </w:p>
        </w:tc>
        <w:tc>
          <w:tcPr>
            <w:tcW w:w="2566" w:type="dxa"/>
            <w:tcBorders>
              <w:top w:val="nil"/>
              <w:left w:val="nil"/>
              <w:bottom w:val="single" w:sz="4" w:space="0" w:color="auto"/>
              <w:right w:val="single" w:sz="4" w:space="0" w:color="auto"/>
            </w:tcBorders>
            <w:shd w:val="clear" w:color="auto" w:fill="auto"/>
            <w:hideMark/>
          </w:tcPr>
          <w:p w14:paraId="5F8F0D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6B560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ADE75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59832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092E8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 key performance indicators (KPIs) such as traffic sources, conversion rates, click-through rates, and campaign ROI to evaluate the success of your multichannel promotion and integration strategies. Use data-driven insights to refine your marketing tactics, allocate resources effectively, and optimize campaign performance over time.</w:t>
            </w:r>
          </w:p>
        </w:tc>
        <w:tc>
          <w:tcPr>
            <w:tcW w:w="2566" w:type="dxa"/>
            <w:tcBorders>
              <w:top w:val="nil"/>
              <w:left w:val="nil"/>
              <w:bottom w:val="single" w:sz="4" w:space="0" w:color="auto"/>
              <w:right w:val="single" w:sz="4" w:space="0" w:color="auto"/>
            </w:tcBorders>
            <w:shd w:val="clear" w:color="auto" w:fill="auto"/>
            <w:hideMark/>
          </w:tcPr>
          <w:p w14:paraId="474BF10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2A2A7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BD0A1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BFBE1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Seamless Integration:</w:t>
            </w:r>
          </w:p>
        </w:tc>
        <w:tc>
          <w:tcPr>
            <w:tcW w:w="6762" w:type="dxa"/>
            <w:tcBorders>
              <w:top w:val="nil"/>
              <w:left w:val="nil"/>
              <w:bottom w:val="single" w:sz="4" w:space="0" w:color="auto"/>
              <w:right w:val="single" w:sz="4" w:space="0" w:color="auto"/>
            </w:tcBorders>
            <w:shd w:val="clear" w:color="auto" w:fill="auto"/>
            <w:hideMark/>
          </w:tcPr>
          <w:p w14:paraId="0FEBC2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27F92A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E6793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3AD20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C2E59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EDED4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Choose a crowdfunding platform that offers seamless integration with your existing marketing channels, website, and communication tools. Ensure that the platform provides easy-to-use APIs, widgets, and embeddable forms that allow you to integrate campaign assets, donation buttons, and progress bars directly into your website or landing pages.</w:t>
            </w:r>
          </w:p>
        </w:tc>
        <w:tc>
          <w:tcPr>
            <w:tcW w:w="2566" w:type="dxa"/>
            <w:tcBorders>
              <w:top w:val="nil"/>
              <w:left w:val="nil"/>
              <w:bottom w:val="single" w:sz="4" w:space="0" w:color="auto"/>
              <w:right w:val="single" w:sz="4" w:space="0" w:color="auto"/>
            </w:tcBorders>
            <w:shd w:val="clear" w:color="auto" w:fill="auto"/>
            <w:hideMark/>
          </w:tcPr>
          <w:p w14:paraId="40B586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124BB6"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3AC466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A204C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9F364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Streamline the donation process and minimize friction for potential backers by providing a seamless user experience across all touchpoints, from initial engagement through to donation confirmation and post-campaign follow-up. Make it easy for users to share your campaign with their networks and amplify your reach through word-of-mouth referrals and social sharing.</w:t>
            </w:r>
          </w:p>
        </w:tc>
        <w:tc>
          <w:tcPr>
            <w:tcW w:w="2566" w:type="dxa"/>
            <w:tcBorders>
              <w:top w:val="nil"/>
              <w:left w:val="nil"/>
              <w:bottom w:val="single" w:sz="4" w:space="0" w:color="auto"/>
              <w:right w:val="single" w:sz="4" w:space="0" w:color="auto"/>
            </w:tcBorders>
            <w:shd w:val="clear" w:color="auto" w:fill="auto"/>
            <w:hideMark/>
          </w:tcPr>
          <w:p w14:paraId="43F1A9F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1EB0C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DEF5C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CD122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Targeted Outreach and Engagement:</w:t>
            </w:r>
          </w:p>
        </w:tc>
        <w:tc>
          <w:tcPr>
            <w:tcW w:w="6762" w:type="dxa"/>
            <w:tcBorders>
              <w:top w:val="nil"/>
              <w:left w:val="nil"/>
              <w:bottom w:val="single" w:sz="4" w:space="0" w:color="auto"/>
              <w:right w:val="single" w:sz="4" w:space="0" w:color="auto"/>
            </w:tcBorders>
            <w:shd w:val="clear" w:color="auto" w:fill="auto"/>
            <w:hideMark/>
          </w:tcPr>
          <w:p w14:paraId="303ED1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EC08E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79997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A6FBB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731A0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B9559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targeted outreach and engagement strategies to reach specific audience segments, demographics, and interest groups most likely to support your project. Leverage audience targeting tools, custom audiences, and lookalike audiences to identify and engage with high-potential backers and influencers.</w:t>
            </w:r>
          </w:p>
        </w:tc>
        <w:tc>
          <w:tcPr>
            <w:tcW w:w="2566" w:type="dxa"/>
            <w:tcBorders>
              <w:top w:val="nil"/>
              <w:left w:val="nil"/>
              <w:bottom w:val="single" w:sz="4" w:space="0" w:color="auto"/>
              <w:right w:val="single" w:sz="4" w:space="0" w:color="auto"/>
            </w:tcBorders>
            <w:shd w:val="clear" w:color="auto" w:fill="auto"/>
            <w:hideMark/>
          </w:tcPr>
          <w:p w14:paraId="7614F7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A1666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D01693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2EF8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EF72C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Personalize your messaging, content, and offers to resonate with each audience segment and address their unique needs, interests, and motivations. Tailor your outreach efforts based on audience preferences, behavior patterns, and engagement history to build meaningful connections and drive action.</w:t>
            </w:r>
          </w:p>
        </w:tc>
        <w:tc>
          <w:tcPr>
            <w:tcW w:w="2566" w:type="dxa"/>
            <w:tcBorders>
              <w:top w:val="nil"/>
              <w:left w:val="nil"/>
              <w:bottom w:val="single" w:sz="4" w:space="0" w:color="auto"/>
              <w:right w:val="single" w:sz="4" w:space="0" w:color="auto"/>
            </w:tcBorders>
            <w:shd w:val="clear" w:color="auto" w:fill="auto"/>
            <w:hideMark/>
          </w:tcPr>
          <w:p w14:paraId="7B1304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5CBCE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1E2D35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D27A7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6B1C4A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Foster community engagement and collaboration by creating opportunities for backers to participate in the campaign, share feedback and ideas, and contribute to the project's success. Encourage user-generated content, testimonials, and endorsements to build social proof and credibility for your campaign.</w:t>
            </w:r>
          </w:p>
        </w:tc>
        <w:tc>
          <w:tcPr>
            <w:tcW w:w="2566" w:type="dxa"/>
            <w:tcBorders>
              <w:top w:val="nil"/>
              <w:left w:val="nil"/>
              <w:bottom w:val="single" w:sz="4" w:space="0" w:color="auto"/>
              <w:right w:val="single" w:sz="4" w:space="0" w:color="auto"/>
            </w:tcBorders>
            <w:shd w:val="clear" w:color="auto" w:fill="auto"/>
            <w:hideMark/>
          </w:tcPr>
          <w:p w14:paraId="0CD166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7D429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8C8FE9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DC5BB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B792C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68612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84601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070DC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54C6CF3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11. Multicultural Promotion and Awareness: </w:t>
            </w:r>
          </w:p>
        </w:tc>
        <w:tc>
          <w:tcPr>
            <w:tcW w:w="6762" w:type="dxa"/>
            <w:tcBorders>
              <w:top w:val="nil"/>
              <w:left w:val="nil"/>
              <w:bottom w:val="single" w:sz="4" w:space="0" w:color="auto"/>
              <w:right w:val="single" w:sz="4" w:space="0" w:color="auto"/>
            </w:tcBorders>
            <w:shd w:val="clear" w:color="auto" w:fill="auto"/>
            <w:hideMark/>
          </w:tcPr>
          <w:p w14:paraId="6A08793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Research multiple culture and languge audience members.  International Institutions and Businesses that can benefit from prime computing. Including ancient historical references and numerology.</w:t>
            </w:r>
          </w:p>
        </w:tc>
        <w:tc>
          <w:tcPr>
            <w:tcW w:w="2566" w:type="dxa"/>
            <w:tcBorders>
              <w:top w:val="nil"/>
              <w:left w:val="nil"/>
              <w:bottom w:val="single" w:sz="4" w:space="0" w:color="auto"/>
              <w:right w:val="single" w:sz="4" w:space="0" w:color="auto"/>
            </w:tcBorders>
            <w:shd w:val="clear" w:color="auto" w:fill="auto"/>
            <w:hideMark/>
          </w:tcPr>
          <w:p w14:paraId="621E7BE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9C4980"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F66AF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5CA38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Researching Multiple Cultural and Language Audience Members:</w:t>
            </w:r>
          </w:p>
        </w:tc>
        <w:tc>
          <w:tcPr>
            <w:tcW w:w="6762" w:type="dxa"/>
            <w:tcBorders>
              <w:top w:val="nil"/>
              <w:left w:val="nil"/>
              <w:bottom w:val="single" w:sz="4" w:space="0" w:color="auto"/>
              <w:right w:val="single" w:sz="4" w:space="0" w:color="auto"/>
            </w:tcBorders>
            <w:shd w:val="clear" w:color="auto" w:fill="auto"/>
            <w:hideMark/>
          </w:tcPr>
          <w:p w14:paraId="59FB388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5B396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ED209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7BC73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AA40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8376F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thorough research to identify and understand the diverse cultural backgrounds and language preferences of potential audience members across different regions and demographics. Consider factors such as linguistic diversity, cultural norms, values, and traditions that may influence how people perceive and engage with your crowdfunding campaign.</w:t>
            </w:r>
          </w:p>
        </w:tc>
        <w:tc>
          <w:tcPr>
            <w:tcW w:w="2566" w:type="dxa"/>
            <w:tcBorders>
              <w:top w:val="nil"/>
              <w:left w:val="nil"/>
              <w:bottom w:val="single" w:sz="4" w:space="0" w:color="auto"/>
              <w:right w:val="single" w:sz="4" w:space="0" w:color="auto"/>
            </w:tcBorders>
            <w:shd w:val="clear" w:color="auto" w:fill="auto"/>
            <w:hideMark/>
          </w:tcPr>
          <w:p w14:paraId="1F76F0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E2563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4076B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A5FF5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41C6C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demographic data, market research reports, and audience segmentation tools to identify key cultural and language groups that are likely to be interested in supporting your project. Consider factors such as geographic location, language proficiency, and cultural affinity when tailoring your promotional strategies and messaging.</w:t>
            </w:r>
          </w:p>
        </w:tc>
        <w:tc>
          <w:tcPr>
            <w:tcW w:w="2566" w:type="dxa"/>
            <w:tcBorders>
              <w:top w:val="nil"/>
              <w:left w:val="nil"/>
              <w:bottom w:val="single" w:sz="4" w:space="0" w:color="auto"/>
              <w:right w:val="single" w:sz="4" w:space="0" w:color="auto"/>
            </w:tcBorders>
            <w:shd w:val="clear" w:color="auto" w:fill="auto"/>
            <w:hideMark/>
          </w:tcPr>
          <w:p w14:paraId="3874C6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25B9F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011DD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763A3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International Institutions and Businesses:</w:t>
            </w:r>
          </w:p>
        </w:tc>
        <w:tc>
          <w:tcPr>
            <w:tcW w:w="6762" w:type="dxa"/>
            <w:tcBorders>
              <w:top w:val="nil"/>
              <w:left w:val="nil"/>
              <w:bottom w:val="single" w:sz="4" w:space="0" w:color="auto"/>
              <w:right w:val="single" w:sz="4" w:space="0" w:color="auto"/>
            </w:tcBorders>
            <w:shd w:val="clear" w:color="auto" w:fill="auto"/>
            <w:hideMark/>
          </w:tcPr>
          <w:p w14:paraId="6AA433D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665D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98AD7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45C81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EAFC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0F0C14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Explore opportunities to engage with international institutions, businesses, and organizations that can benefit from prime computing and related technologies. Identify potential partners, collaborators, and stakeholders in various industries such as finance, technology, healthcare, and education who may have an interest in supporting your project or leveraging its outcomes.</w:t>
            </w:r>
          </w:p>
        </w:tc>
        <w:tc>
          <w:tcPr>
            <w:tcW w:w="2566" w:type="dxa"/>
            <w:tcBorders>
              <w:top w:val="nil"/>
              <w:left w:val="nil"/>
              <w:bottom w:val="single" w:sz="4" w:space="0" w:color="auto"/>
              <w:right w:val="single" w:sz="4" w:space="0" w:color="auto"/>
            </w:tcBorders>
            <w:shd w:val="clear" w:color="auto" w:fill="auto"/>
            <w:hideMark/>
          </w:tcPr>
          <w:p w14:paraId="3F3295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057E7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644375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0B5DB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172B4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Customize your outreach efforts and value proposition to resonate with the specific needs, priorities, and objectives of international stakeholders. Highlight the potential benefits and applications of prime computing in addressing global challenges, advancing scientific research, and driving innovation across different sectors.</w:t>
            </w:r>
          </w:p>
        </w:tc>
        <w:tc>
          <w:tcPr>
            <w:tcW w:w="2566" w:type="dxa"/>
            <w:tcBorders>
              <w:top w:val="nil"/>
              <w:left w:val="nil"/>
              <w:bottom w:val="single" w:sz="4" w:space="0" w:color="auto"/>
              <w:right w:val="single" w:sz="4" w:space="0" w:color="auto"/>
            </w:tcBorders>
            <w:shd w:val="clear" w:color="auto" w:fill="auto"/>
            <w:hideMark/>
          </w:tcPr>
          <w:p w14:paraId="58E3BE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84945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1D190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92B68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Ancient Historical References and Numerology:</w:t>
            </w:r>
          </w:p>
        </w:tc>
        <w:tc>
          <w:tcPr>
            <w:tcW w:w="6762" w:type="dxa"/>
            <w:tcBorders>
              <w:top w:val="nil"/>
              <w:left w:val="nil"/>
              <w:bottom w:val="single" w:sz="4" w:space="0" w:color="auto"/>
              <w:right w:val="single" w:sz="4" w:space="0" w:color="auto"/>
            </w:tcBorders>
            <w:shd w:val="clear" w:color="auto" w:fill="auto"/>
            <w:hideMark/>
          </w:tcPr>
          <w:p w14:paraId="6A71148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F2DAE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4A0665"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73BBB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9BAF2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9BDDD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Incorporate references to ancient historical knowledge, cultural symbolism, and numerology that resonate with diverse audience members and add depth to your crowdfunding campaign. Draw inspiration from historical figures, civilizations, and mathematical traditions that have contributed to the understanding and significance of prime numbers throughout history.</w:t>
            </w:r>
          </w:p>
        </w:tc>
        <w:tc>
          <w:tcPr>
            <w:tcW w:w="2566" w:type="dxa"/>
            <w:tcBorders>
              <w:top w:val="nil"/>
              <w:left w:val="nil"/>
              <w:bottom w:val="single" w:sz="4" w:space="0" w:color="auto"/>
              <w:right w:val="single" w:sz="4" w:space="0" w:color="auto"/>
            </w:tcBorders>
            <w:shd w:val="clear" w:color="auto" w:fill="auto"/>
            <w:hideMark/>
          </w:tcPr>
          <w:p w14:paraId="6A9B27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2BB978"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BE442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CFAC1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09791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Explore how ancient cultures and civilizations have used prime numbers in architecture, art, religion, and mysticism, and leverage these connections to create compelling narratives and storytelling elements for your campaign. Highlight the timeless appeal and universal significance of prime numbers as symbols of order, symmetry, and mystery across different cultures and belief systems.</w:t>
            </w:r>
          </w:p>
        </w:tc>
        <w:tc>
          <w:tcPr>
            <w:tcW w:w="2566" w:type="dxa"/>
            <w:tcBorders>
              <w:top w:val="nil"/>
              <w:left w:val="nil"/>
              <w:bottom w:val="single" w:sz="4" w:space="0" w:color="auto"/>
              <w:right w:val="single" w:sz="4" w:space="0" w:color="auto"/>
            </w:tcBorders>
            <w:shd w:val="clear" w:color="auto" w:fill="auto"/>
            <w:hideMark/>
          </w:tcPr>
          <w:p w14:paraId="067680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60316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776D6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FCA87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Examples and Case Studies:</w:t>
            </w:r>
          </w:p>
        </w:tc>
        <w:tc>
          <w:tcPr>
            <w:tcW w:w="6762" w:type="dxa"/>
            <w:tcBorders>
              <w:top w:val="nil"/>
              <w:left w:val="nil"/>
              <w:bottom w:val="single" w:sz="4" w:space="0" w:color="auto"/>
              <w:right w:val="single" w:sz="4" w:space="0" w:color="auto"/>
            </w:tcBorders>
            <w:shd w:val="clear" w:color="auto" w:fill="auto"/>
            <w:hideMark/>
          </w:tcPr>
          <w:p w14:paraId="3BD8C0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54B35E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AAFFB9"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5253AB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F7CB2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39CDD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Famous examples of crowdfunding campaigns that successfully engaged multicultural audiences and leveraged cultural diversity include projects that celebrate cultural heritage, promote diversity and inclusion, or address global challenges with broad societal impact. For instance, the "Kung Fu Tea: The Story of Wing Chun" campaign on Kickstarter raised over $100,000 by appealing to martial arts enthusiasts and fans of Chinese culture worldwide.</w:t>
            </w:r>
          </w:p>
        </w:tc>
        <w:tc>
          <w:tcPr>
            <w:tcW w:w="2566" w:type="dxa"/>
            <w:tcBorders>
              <w:top w:val="nil"/>
              <w:left w:val="nil"/>
              <w:bottom w:val="single" w:sz="4" w:space="0" w:color="auto"/>
              <w:right w:val="single" w:sz="4" w:space="0" w:color="auto"/>
            </w:tcBorders>
            <w:shd w:val="clear" w:color="auto" w:fill="auto"/>
            <w:hideMark/>
          </w:tcPr>
          <w:p w14:paraId="4B9AAB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905C7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620FF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FC59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128BA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Detailed types of audience members may include multicultural communities, diaspora groups, expatriates, and global citizens who share a common interest or affinity for specific cultural themes, traditions, or historical legacies. Tailor your campaign messaging, visuals, and storytelling elements to resonate with each audience segment and create a sense of belonging and cultural pride.</w:t>
            </w:r>
          </w:p>
        </w:tc>
        <w:tc>
          <w:tcPr>
            <w:tcW w:w="2566" w:type="dxa"/>
            <w:tcBorders>
              <w:top w:val="nil"/>
              <w:left w:val="nil"/>
              <w:bottom w:val="single" w:sz="4" w:space="0" w:color="auto"/>
              <w:right w:val="single" w:sz="4" w:space="0" w:color="auto"/>
            </w:tcBorders>
            <w:shd w:val="clear" w:color="auto" w:fill="auto"/>
            <w:hideMark/>
          </w:tcPr>
          <w:p w14:paraId="688536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AFB7B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23879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AA6F7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483C19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multilingual communication channels, localized content, and culturally relevant messaging to engage with diverse audience members in their preferred language and cultural context. Provide translation services, subtitles, and language-specific resources to ensure inclusivity and accessibility for non-English-speaking supporters.</w:t>
            </w:r>
          </w:p>
        </w:tc>
        <w:tc>
          <w:tcPr>
            <w:tcW w:w="2566" w:type="dxa"/>
            <w:tcBorders>
              <w:top w:val="nil"/>
              <w:left w:val="nil"/>
              <w:bottom w:val="single" w:sz="4" w:space="0" w:color="auto"/>
              <w:right w:val="single" w:sz="4" w:space="0" w:color="auto"/>
            </w:tcBorders>
            <w:shd w:val="clear" w:color="auto" w:fill="auto"/>
            <w:hideMark/>
          </w:tcPr>
          <w:p w14:paraId="7DA673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D8657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126DC0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D4444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4C06C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Collaborate with multicultural influencers, content creators, and community leaders who have a strong following and influence within specific cultural or language groups. Partner with organizations, media outlets, and online communities that cater to diverse cultural audiences to amplify your campaign's reach and engagement.</w:t>
            </w:r>
          </w:p>
        </w:tc>
        <w:tc>
          <w:tcPr>
            <w:tcW w:w="2566" w:type="dxa"/>
            <w:tcBorders>
              <w:top w:val="nil"/>
              <w:left w:val="nil"/>
              <w:bottom w:val="single" w:sz="4" w:space="0" w:color="auto"/>
              <w:right w:val="single" w:sz="4" w:space="0" w:color="auto"/>
            </w:tcBorders>
            <w:shd w:val="clear" w:color="auto" w:fill="auto"/>
            <w:hideMark/>
          </w:tcPr>
          <w:p w14:paraId="4BACAF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927DB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AB9F9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AC1B1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9838D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targeted outreach and engagement efforts in multicultural communities, events, and festivals to raise awareness and generate interest in your crowdfunding campaign. Participate in cultural exchange programs, international conferences, and collaborative projects that foster cross-cultural understanding and collaboration to build trust and credibility with diverse audience members.</w:t>
            </w:r>
          </w:p>
        </w:tc>
        <w:tc>
          <w:tcPr>
            <w:tcW w:w="2566" w:type="dxa"/>
            <w:tcBorders>
              <w:top w:val="nil"/>
              <w:left w:val="nil"/>
              <w:bottom w:val="single" w:sz="4" w:space="0" w:color="auto"/>
              <w:right w:val="single" w:sz="4" w:space="0" w:color="auto"/>
            </w:tcBorders>
            <w:shd w:val="clear" w:color="auto" w:fill="auto"/>
            <w:hideMark/>
          </w:tcPr>
          <w:p w14:paraId="1ECA6B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231437"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CED4D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CD16D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Researching Multiple Cultural and Language Audience Members:</w:t>
            </w:r>
          </w:p>
        </w:tc>
        <w:tc>
          <w:tcPr>
            <w:tcW w:w="6762" w:type="dxa"/>
            <w:tcBorders>
              <w:top w:val="nil"/>
              <w:left w:val="nil"/>
              <w:bottom w:val="single" w:sz="4" w:space="0" w:color="auto"/>
              <w:right w:val="single" w:sz="4" w:space="0" w:color="auto"/>
            </w:tcBorders>
            <w:shd w:val="clear" w:color="auto" w:fill="auto"/>
            <w:hideMark/>
          </w:tcPr>
          <w:p w14:paraId="44F2309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3FD0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69ACB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5CB33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8C7E2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D0634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Understanding the cultural and language preferences of your audience is crucial for crafting effective messaging and promotional strategies that resonate with diverse communities.</w:t>
            </w:r>
          </w:p>
        </w:tc>
        <w:tc>
          <w:tcPr>
            <w:tcW w:w="2566" w:type="dxa"/>
            <w:tcBorders>
              <w:top w:val="nil"/>
              <w:left w:val="nil"/>
              <w:bottom w:val="single" w:sz="4" w:space="0" w:color="auto"/>
              <w:right w:val="single" w:sz="4" w:space="0" w:color="auto"/>
            </w:tcBorders>
            <w:shd w:val="clear" w:color="auto" w:fill="auto"/>
            <w:hideMark/>
          </w:tcPr>
          <w:p w14:paraId="547C7A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1C87D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F145B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060D1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3221C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conducting thorough research, you can identify cultural nuances, communication styles, and values that influence how people engage with crowdfunding campaigns.</w:t>
            </w:r>
          </w:p>
        </w:tc>
        <w:tc>
          <w:tcPr>
            <w:tcW w:w="2566" w:type="dxa"/>
            <w:tcBorders>
              <w:top w:val="nil"/>
              <w:left w:val="nil"/>
              <w:bottom w:val="single" w:sz="4" w:space="0" w:color="auto"/>
              <w:right w:val="single" w:sz="4" w:space="0" w:color="auto"/>
            </w:tcBorders>
            <w:shd w:val="clear" w:color="auto" w:fill="auto"/>
            <w:hideMark/>
          </w:tcPr>
          <w:p w14:paraId="784675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C059D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B9547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EEBDD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F584D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Tailoring your campaign content and outreach efforts to different cultural and language groups demonstrates inclusivity and fosters a sense of connection and belonging among diverse audience members.</w:t>
            </w:r>
          </w:p>
        </w:tc>
        <w:tc>
          <w:tcPr>
            <w:tcW w:w="2566" w:type="dxa"/>
            <w:tcBorders>
              <w:top w:val="nil"/>
              <w:left w:val="nil"/>
              <w:bottom w:val="single" w:sz="4" w:space="0" w:color="auto"/>
              <w:right w:val="single" w:sz="4" w:space="0" w:color="auto"/>
            </w:tcBorders>
            <w:shd w:val="clear" w:color="auto" w:fill="auto"/>
            <w:hideMark/>
          </w:tcPr>
          <w:p w14:paraId="6AF644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34562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242C0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CCC3B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International Institutions and Businesses:</w:t>
            </w:r>
          </w:p>
        </w:tc>
        <w:tc>
          <w:tcPr>
            <w:tcW w:w="6762" w:type="dxa"/>
            <w:tcBorders>
              <w:top w:val="nil"/>
              <w:left w:val="nil"/>
              <w:bottom w:val="single" w:sz="4" w:space="0" w:color="auto"/>
              <w:right w:val="single" w:sz="4" w:space="0" w:color="auto"/>
            </w:tcBorders>
            <w:shd w:val="clear" w:color="auto" w:fill="auto"/>
            <w:hideMark/>
          </w:tcPr>
          <w:p w14:paraId="0B7D76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7374A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1DB5A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5D9AF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2E5DC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CF54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Engaging with international institutions and businesses expands the reach and impact of your campaign by tapping into global networks and markets.</w:t>
            </w:r>
          </w:p>
        </w:tc>
        <w:tc>
          <w:tcPr>
            <w:tcW w:w="2566" w:type="dxa"/>
            <w:tcBorders>
              <w:top w:val="nil"/>
              <w:left w:val="nil"/>
              <w:bottom w:val="single" w:sz="4" w:space="0" w:color="auto"/>
              <w:right w:val="single" w:sz="4" w:space="0" w:color="auto"/>
            </w:tcBorders>
            <w:shd w:val="clear" w:color="auto" w:fill="auto"/>
            <w:hideMark/>
          </w:tcPr>
          <w:p w14:paraId="28ECBD0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61005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7CD98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5CD37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28E4C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Collaborating with international stakeholders opens up opportunities for partnerships, funding, and cross-disciplinary collaborations that can enhance the credibility and sustainability of your project.</w:t>
            </w:r>
          </w:p>
        </w:tc>
        <w:tc>
          <w:tcPr>
            <w:tcW w:w="2566" w:type="dxa"/>
            <w:tcBorders>
              <w:top w:val="nil"/>
              <w:left w:val="nil"/>
              <w:bottom w:val="single" w:sz="4" w:space="0" w:color="auto"/>
              <w:right w:val="single" w:sz="4" w:space="0" w:color="auto"/>
            </w:tcBorders>
            <w:shd w:val="clear" w:color="auto" w:fill="auto"/>
            <w:hideMark/>
          </w:tcPr>
          <w:p w14:paraId="5CDD85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4E772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95647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FCCB7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16B12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Highlighting the potential benefits of your project for diverse industries and sectors demonstrates its relevance and applicability on a global scale, attracting support from a wide range of stakeholders.</w:t>
            </w:r>
          </w:p>
        </w:tc>
        <w:tc>
          <w:tcPr>
            <w:tcW w:w="2566" w:type="dxa"/>
            <w:tcBorders>
              <w:top w:val="nil"/>
              <w:left w:val="nil"/>
              <w:bottom w:val="single" w:sz="4" w:space="0" w:color="auto"/>
              <w:right w:val="single" w:sz="4" w:space="0" w:color="auto"/>
            </w:tcBorders>
            <w:shd w:val="clear" w:color="auto" w:fill="auto"/>
            <w:hideMark/>
          </w:tcPr>
          <w:p w14:paraId="6F96267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D8A14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33DD7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7E5CB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Ancient Historical References and Numerology:</w:t>
            </w:r>
          </w:p>
        </w:tc>
        <w:tc>
          <w:tcPr>
            <w:tcW w:w="6762" w:type="dxa"/>
            <w:tcBorders>
              <w:top w:val="nil"/>
              <w:left w:val="nil"/>
              <w:bottom w:val="single" w:sz="4" w:space="0" w:color="auto"/>
              <w:right w:val="single" w:sz="4" w:space="0" w:color="auto"/>
            </w:tcBorders>
            <w:shd w:val="clear" w:color="auto" w:fill="auto"/>
            <w:hideMark/>
          </w:tcPr>
          <w:p w14:paraId="38B7DCC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09E9C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5D0A8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4AF6A2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88EF5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523F1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Incorporating ancient historical references and numerology adds depth and cultural richness to your campaign, capturing the imagination and curiosity of diverse audience members.</w:t>
            </w:r>
          </w:p>
        </w:tc>
        <w:tc>
          <w:tcPr>
            <w:tcW w:w="2566" w:type="dxa"/>
            <w:tcBorders>
              <w:top w:val="nil"/>
              <w:left w:val="nil"/>
              <w:bottom w:val="single" w:sz="4" w:space="0" w:color="auto"/>
              <w:right w:val="single" w:sz="4" w:space="0" w:color="auto"/>
            </w:tcBorders>
            <w:shd w:val="clear" w:color="auto" w:fill="auto"/>
            <w:hideMark/>
          </w:tcPr>
          <w:p w14:paraId="764AF3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081C0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06AC8D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A6F4F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103EB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drawing connections between prime numbers and historical traditions, you can create compelling narratives and storytelling elements that resonate with people across different cultures and backgrounds.</w:t>
            </w:r>
          </w:p>
        </w:tc>
        <w:tc>
          <w:tcPr>
            <w:tcW w:w="2566" w:type="dxa"/>
            <w:tcBorders>
              <w:top w:val="nil"/>
              <w:left w:val="nil"/>
              <w:bottom w:val="single" w:sz="4" w:space="0" w:color="auto"/>
              <w:right w:val="single" w:sz="4" w:space="0" w:color="auto"/>
            </w:tcBorders>
            <w:shd w:val="clear" w:color="auto" w:fill="auto"/>
            <w:hideMark/>
          </w:tcPr>
          <w:p w14:paraId="0D4383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AE14B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C285E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C167B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B6009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Leveraging the universal appeal and symbolism of prime numbers as symbols of order, harmony, and mystery enhances the emotional resonance and cultural significance of your campaign, inspiring people to support your project.</w:t>
            </w:r>
          </w:p>
        </w:tc>
        <w:tc>
          <w:tcPr>
            <w:tcW w:w="2566" w:type="dxa"/>
            <w:tcBorders>
              <w:top w:val="nil"/>
              <w:left w:val="nil"/>
              <w:bottom w:val="single" w:sz="4" w:space="0" w:color="auto"/>
              <w:right w:val="single" w:sz="4" w:space="0" w:color="auto"/>
            </w:tcBorders>
            <w:shd w:val="clear" w:color="auto" w:fill="auto"/>
            <w:hideMark/>
          </w:tcPr>
          <w:p w14:paraId="2A42C5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A84E5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75D915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9E714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86D92F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EAC72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A6A36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BD1CC1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90B8C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0D52E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carefully considering these factors, you can select the most appropriate crowdfunding platform(s) to host your campaign and maximize your project's visibility, reach, and success potential.</w:t>
            </w:r>
          </w:p>
        </w:tc>
        <w:tc>
          <w:tcPr>
            <w:tcW w:w="2566" w:type="dxa"/>
            <w:tcBorders>
              <w:top w:val="nil"/>
              <w:left w:val="nil"/>
              <w:bottom w:val="single" w:sz="4" w:space="0" w:color="auto"/>
              <w:right w:val="single" w:sz="4" w:space="0" w:color="auto"/>
            </w:tcBorders>
            <w:shd w:val="clear" w:color="auto" w:fill="auto"/>
            <w:hideMark/>
          </w:tcPr>
          <w:p w14:paraId="433252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E407F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FD78B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FE231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956AD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Each factor contributes to creating a well-rounded and effective crowdfunding strategy that resonates with your target audience, aligns with your project goals, and leverages the strengths of different crowdfunding platforms.</w:t>
            </w:r>
          </w:p>
        </w:tc>
        <w:tc>
          <w:tcPr>
            <w:tcW w:w="2566" w:type="dxa"/>
            <w:tcBorders>
              <w:top w:val="nil"/>
              <w:left w:val="nil"/>
              <w:bottom w:val="single" w:sz="4" w:space="0" w:color="auto"/>
              <w:right w:val="single" w:sz="4" w:space="0" w:color="auto"/>
            </w:tcBorders>
            <w:shd w:val="clear" w:color="auto" w:fill="auto"/>
            <w:hideMark/>
          </w:tcPr>
          <w:p w14:paraId="692FD3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3B521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91383E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B6F1B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64661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Taking the time to research, analyze, and prioritize these factors ensures that your campaign is well-positioned for success and able to effectively engage with diverse audiences across cultural, linguistic, and geographical boundaries.</w:t>
            </w:r>
          </w:p>
        </w:tc>
        <w:tc>
          <w:tcPr>
            <w:tcW w:w="2566" w:type="dxa"/>
            <w:tcBorders>
              <w:top w:val="nil"/>
              <w:left w:val="nil"/>
              <w:bottom w:val="single" w:sz="4" w:space="0" w:color="auto"/>
              <w:right w:val="single" w:sz="4" w:space="0" w:color="auto"/>
            </w:tcBorders>
            <w:shd w:val="clear" w:color="auto" w:fill="auto"/>
            <w:hideMark/>
          </w:tcPr>
          <w:p w14:paraId="63ADE5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D7E94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BC829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E9E68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03CCDC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7AF79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1D36A4" w14:textId="77777777" w:rsidTr="0041317E">
        <w:trPr>
          <w:trHeight w:val="1032"/>
        </w:trPr>
        <w:tc>
          <w:tcPr>
            <w:tcW w:w="1349" w:type="dxa"/>
            <w:tcBorders>
              <w:top w:val="nil"/>
              <w:left w:val="single" w:sz="4" w:space="0" w:color="auto"/>
              <w:bottom w:val="single" w:sz="4" w:space="0" w:color="auto"/>
              <w:right w:val="single" w:sz="4" w:space="0" w:color="auto"/>
            </w:tcBorders>
            <w:shd w:val="clear" w:color="auto" w:fill="auto"/>
            <w:hideMark/>
          </w:tcPr>
          <w:p w14:paraId="431CF9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5. Crowd Funding Platform Selection: </w:t>
            </w:r>
          </w:p>
        </w:tc>
        <w:tc>
          <w:tcPr>
            <w:tcW w:w="2363" w:type="dxa"/>
            <w:tcBorders>
              <w:top w:val="nil"/>
              <w:left w:val="nil"/>
              <w:bottom w:val="single" w:sz="4" w:space="0" w:color="auto"/>
              <w:right w:val="single" w:sz="4" w:space="0" w:color="auto"/>
            </w:tcBorders>
            <w:shd w:val="clear" w:color="auto" w:fill="auto"/>
            <w:hideMark/>
          </w:tcPr>
          <w:p w14:paraId="499699C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12. Conclusion: </w:t>
            </w:r>
          </w:p>
        </w:tc>
        <w:tc>
          <w:tcPr>
            <w:tcW w:w="6762" w:type="dxa"/>
            <w:tcBorders>
              <w:top w:val="nil"/>
              <w:left w:val="nil"/>
              <w:bottom w:val="single" w:sz="4" w:space="0" w:color="auto"/>
              <w:right w:val="single" w:sz="4" w:space="0" w:color="auto"/>
            </w:tcBorders>
            <w:shd w:val="clear" w:color="auto" w:fill="auto"/>
            <w:hideMark/>
          </w:tcPr>
          <w:p w14:paraId="31966E5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By carefully considering these factors, you can select the most appropriate crowdfunding platform(s) to host your campaign and maximize your project's visibility, reach, and success potential.</w:t>
            </w:r>
          </w:p>
        </w:tc>
        <w:tc>
          <w:tcPr>
            <w:tcW w:w="2566" w:type="dxa"/>
            <w:tcBorders>
              <w:top w:val="nil"/>
              <w:left w:val="nil"/>
              <w:bottom w:val="single" w:sz="4" w:space="0" w:color="auto"/>
              <w:right w:val="single" w:sz="4" w:space="0" w:color="auto"/>
            </w:tcBorders>
            <w:shd w:val="clear" w:color="auto" w:fill="auto"/>
            <w:hideMark/>
          </w:tcPr>
          <w:p w14:paraId="7312D9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4953D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CC5FB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4F74F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46D21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0F5A1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0DF28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A21B2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49DBD4D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180586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a detailed plan for the crowd funding campaign, including the duration, funding goal, rewards for backers, marketing strategy, and outreach tactics.</w:t>
            </w:r>
          </w:p>
        </w:tc>
        <w:tc>
          <w:tcPr>
            <w:tcW w:w="2566" w:type="dxa"/>
            <w:tcBorders>
              <w:top w:val="nil"/>
              <w:left w:val="nil"/>
              <w:bottom w:val="single" w:sz="4" w:space="0" w:color="auto"/>
              <w:right w:val="single" w:sz="4" w:space="0" w:color="auto"/>
            </w:tcBorders>
            <w:shd w:val="clear" w:color="auto" w:fill="auto"/>
            <w:hideMark/>
          </w:tcPr>
          <w:p w14:paraId="03CB3D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61B0CF" w14:textId="77777777" w:rsidTr="0041317E">
        <w:trPr>
          <w:trHeight w:val="2304"/>
        </w:trPr>
        <w:tc>
          <w:tcPr>
            <w:tcW w:w="1349" w:type="dxa"/>
            <w:tcBorders>
              <w:top w:val="nil"/>
              <w:left w:val="single" w:sz="4" w:space="0" w:color="auto"/>
              <w:bottom w:val="single" w:sz="4" w:space="0" w:color="auto"/>
              <w:right w:val="single" w:sz="4" w:space="0" w:color="auto"/>
            </w:tcBorders>
            <w:shd w:val="clear" w:color="auto" w:fill="auto"/>
            <w:hideMark/>
          </w:tcPr>
          <w:p w14:paraId="5D1D185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403B23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Campaign Duration: </w:t>
            </w:r>
          </w:p>
        </w:tc>
        <w:tc>
          <w:tcPr>
            <w:tcW w:w="6762" w:type="dxa"/>
            <w:tcBorders>
              <w:top w:val="nil"/>
              <w:left w:val="nil"/>
              <w:bottom w:val="single" w:sz="4" w:space="0" w:color="auto"/>
              <w:right w:val="single" w:sz="4" w:space="0" w:color="auto"/>
            </w:tcBorders>
            <w:shd w:val="clear" w:color="auto" w:fill="auto"/>
            <w:hideMark/>
          </w:tcPr>
          <w:p w14:paraId="37D5C4C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Determine the duration of the crowd funding campaign, taking into account factors such as the complexity of the project, the size of the funding goal, and the audience's attention span. Consider running the campaign for 30-45 days to create a sense of urgency while allowing sufficient time for promotion and engagement.</w:t>
            </w:r>
          </w:p>
        </w:tc>
        <w:tc>
          <w:tcPr>
            <w:tcW w:w="2566" w:type="dxa"/>
            <w:tcBorders>
              <w:top w:val="nil"/>
              <w:left w:val="nil"/>
              <w:bottom w:val="single" w:sz="4" w:space="0" w:color="auto"/>
              <w:right w:val="single" w:sz="4" w:space="0" w:color="auto"/>
            </w:tcBorders>
            <w:shd w:val="clear" w:color="auto" w:fill="auto"/>
            <w:hideMark/>
          </w:tcPr>
          <w:p w14:paraId="1EE9C61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Duration to Build the PrimeCommittee to continue operation of PrimeBookOne. Duration to Build PrimeBookToolkit and offer those that invested coupons toward the final product.</w:t>
            </w:r>
          </w:p>
        </w:tc>
      </w:tr>
      <w:tr w:rsidR="0041317E" w:rsidRPr="0041317E" w14:paraId="636F463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3C8B5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D8F10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Complexity of the Project:</w:t>
            </w:r>
          </w:p>
        </w:tc>
        <w:tc>
          <w:tcPr>
            <w:tcW w:w="6762" w:type="dxa"/>
            <w:tcBorders>
              <w:top w:val="nil"/>
              <w:left w:val="nil"/>
              <w:bottom w:val="single" w:sz="4" w:space="0" w:color="auto"/>
              <w:right w:val="single" w:sz="4" w:space="0" w:color="auto"/>
            </w:tcBorders>
            <w:shd w:val="clear" w:color="auto" w:fill="auto"/>
            <w:hideMark/>
          </w:tcPr>
          <w:p w14:paraId="2EA45F8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F2B0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95D77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EE48B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D08AA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63F1B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the complexity of PrimeBookOne and PrimeBookToolkit projects. Projects that involve extensive research, development, and collaboration may require a longer campaign duration to adequately convey their significance and garner support.</w:t>
            </w:r>
          </w:p>
        </w:tc>
        <w:tc>
          <w:tcPr>
            <w:tcW w:w="2566" w:type="dxa"/>
            <w:tcBorders>
              <w:top w:val="nil"/>
              <w:left w:val="nil"/>
              <w:bottom w:val="single" w:sz="4" w:space="0" w:color="auto"/>
              <w:right w:val="single" w:sz="4" w:space="0" w:color="auto"/>
            </w:tcBorders>
            <w:shd w:val="clear" w:color="auto" w:fill="auto"/>
            <w:hideMark/>
          </w:tcPr>
          <w:p w14:paraId="043D23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33314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776AAB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80362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7AB345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timeline for building the PrimeCommittee and developing the PrimeBookToolkit. Determine how much time is needed to recruit committee members, establish project guidelines, and coordinate collaborative efforts effectively.</w:t>
            </w:r>
          </w:p>
        </w:tc>
        <w:tc>
          <w:tcPr>
            <w:tcW w:w="2566" w:type="dxa"/>
            <w:tcBorders>
              <w:top w:val="nil"/>
              <w:left w:val="nil"/>
              <w:bottom w:val="single" w:sz="4" w:space="0" w:color="auto"/>
              <w:right w:val="single" w:sz="4" w:space="0" w:color="auto"/>
            </w:tcBorders>
            <w:shd w:val="clear" w:color="auto" w:fill="auto"/>
            <w:hideMark/>
          </w:tcPr>
          <w:p w14:paraId="6E02C4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BF465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5F6F5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33D3B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Size of the Funding Goal:</w:t>
            </w:r>
          </w:p>
        </w:tc>
        <w:tc>
          <w:tcPr>
            <w:tcW w:w="6762" w:type="dxa"/>
            <w:tcBorders>
              <w:top w:val="nil"/>
              <w:left w:val="nil"/>
              <w:bottom w:val="single" w:sz="4" w:space="0" w:color="auto"/>
              <w:right w:val="single" w:sz="4" w:space="0" w:color="auto"/>
            </w:tcBorders>
            <w:shd w:val="clear" w:color="auto" w:fill="auto"/>
            <w:hideMark/>
          </w:tcPr>
          <w:p w14:paraId="454EB6B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7C4D8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C97BC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5FB0F5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874C6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89D05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the financial resources required to achieve your funding goal for both PrimeBookOne and PrimeBookToolkit. Larger funding goals may necessitate a longer campaign duration to reach a wider audience and attract sufficient backers.</w:t>
            </w:r>
          </w:p>
        </w:tc>
        <w:tc>
          <w:tcPr>
            <w:tcW w:w="2566" w:type="dxa"/>
            <w:tcBorders>
              <w:top w:val="nil"/>
              <w:left w:val="nil"/>
              <w:bottom w:val="single" w:sz="4" w:space="0" w:color="auto"/>
              <w:right w:val="single" w:sz="4" w:space="0" w:color="auto"/>
            </w:tcBorders>
            <w:shd w:val="clear" w:color="auto" w:fill="auto"/>
            <w:hideMark/>
          </w:tcPr>
          <w:p w14:paraId="4209C4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E47D7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B9F63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C96F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D9FE2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Factor in the costs associated with building the PrimeCommittee and developing the PrimeBookToolkit. Consider any upfront expenses, such as research equipment, software development, and personnel costs, when setting your funding target.</w:t>
            </w:r>
          </w:p>
        </w:tc>
        <w:tc>
          <w:tcPr>
            <w:tcW w:w="2566" w:type="dxa"/>
            <w:tcBorders>
              <w:top w:val="nil"/>
              <w:left w:val="nil"/>
              <w:bottom w:val="single" w:sz="4" w:space="0" w:color="auto"/>
              <w:right w:val="single" w:sz="4" w:space="0" w:color="auto"/>
            </w:tcBorders>
            <w:shd w:val="clear" w:color="auto" w:fill="auto"/>
            <w:hideMark/>
          </w:tcPr>
          <w:p w14:paraId="43F8BFD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C3BC6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0AEEA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74306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Audience's Attention Span:</w:t>
            </w:r>
          </w:p>
        </w:tc>
        <w:tc>
          <w:tcPr>
            <w:tcW w:w="6762" w:type="dxa"/>
            <w:tcBorders>
              <w:top w:val="nil"/>
              <w:left w:val="nil"/>
              <w:bottom w:val="single" w:sz="4" w:space="0" w:color="auto"/>
              <w:right w:val="single" w:sz="4" w:space="0" w:color="auto"/>
            </w:tcBorders>
            <w:shd w:val="clear" w:color="auto" w:fill="auto"/>
            <w:hideMark/>
          </w:tcPr>
          <w:p w14:paraId="21724B7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C50E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32EAF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21EA5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BF749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E7B57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Recognize that the attention span of your audience plays a crucial role in determining the campaign duration. Shorter campaigns may generate a sense of urgency and excitement, encouraging backers to pledge their support quickly.</w:t>
            </w:r>
          </w:p>
        </w:tc>
        <w:tc>
          <w:tcPr>
            <w:tcW w:w="2566" w:type="dxa"/>
            <w:tcBorders>
              <w:top w:val="nil"/>
              <w:left w:val="nil"/>
              <w:bottom w:val="single" w:sz="4" w:space="0" w:color="auto"/>
              <w:right w:val="single" w:sz="4" w:space="0" w:color="auto"/>
            </w:tcBorders>
            <w:shd w:val="clear" w:color="auto" w:fill="auto"/>
            <w:hideMark/>
          </w:tcPr>
          <w:p w14:paraId="1F2896E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ACAAA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36E1D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7C906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BCDF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However, longer campaigns provide more opportunities for engagement and outreach, allowing you to connect with potential backers over time and address any questions or concerns they may have.</w:t>
            </w:r>
          </w:p>
        </w:tc>
        <w:tc>
          <w:tcPr>
            <w:tcW w:w="2566" w:type="dxa"/>
            <w:tcBorders>
              <w:top w:val="nil"/>
              <w:left w:val="nil"/>
              <w:bottom w:val="single" w:sz="4" w:space="0" w:color="auto"/>
              <w:right w:val="single" w:sz="4" w:space="0" w:color="auto"/>
            </w:tcBorders>
            <w:shd w:val="clear" w:color="auto" w:fill="auto"/>
            <w:hideMark/>
          </w:tcPr>
          <w:p w14:paraId="3BE6F0B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1EC54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C1C18F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F6BA7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Sense of Urgency:</w:t>
            </w:r>
          </w:p>
        </w:tc>
        <w:tc>
          <w:tcPr>
            <w:tcW w:w="6762" w:type="dxa"/>
            <w:tcBorders>
              <w:top w:val="nil"/>
              <w:left w:val="nil"/>
              <w:bottom w:val="single" w:sz="4" w:space="0" w:color="auto"/>
              <w:right w:val="single" w:sz="4" w:space="0" w:color="auto"/>
            </w:tcBorders>
            <w:shd w:val="clear" w:color="auto" w:fill="auto"/>
            <w:hideMark/>
          </w:tcPr>
          <w:p w14:paraId="705B14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12128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1AB3E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78222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70C62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6EDCB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Strike a balance between creating a sense of urgency and allowing sufficient time for promotion and engagement. A campaign duration of 30-45 days is often recommended as it provides a sense of urgency without overwhelming backers with a prolonged fundraising period.</w:t>
            </w:r>
          </w:p>
        </w:tc>
        <w:tc>
          <w:tcPr>
            <w:tcW w:w="2566" w:type="dxa"/>
            <w:tcBorders>
              <w:top w:val="nil"/>
              <w:left w:val="nil"/>
              <w:bottom w:val="single" w:sz="4" w:space="0" w:color="auto"/>
              <w:right w:val="single" w:sz="4" w:space="0" w:color="auto"/>
            </w:tcBorders>
            <w:shd w:val="clear" w:color="auto" w:fill="auto"/>
            <w:hideMark/>
          </w:tcPr>
          <w:p w14:paraId="7B1595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A0C69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973AF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320F1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79AAF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strategic messaging and updates throughout the campaign to maintain momentum and encourage backers to take action before the campaign deadline.</w:t>
            </w:r>
          </w:p>
        </w:tc>
        <w:tc>
          <w:tcPr>
            <w:tcW w:w="2566" w:type="dxa"/>
            <w:tcBorders>
              <w:top w:val="nil"/>
              <w:left w:val="nil"/>
              <w:bottom w:val="single" w:sz="4" w:space="0" w:color="auto"/>
              <w:right w:val="single" w:sz="4" w:space="0" w:color="auto"/>
            </w:tcBorders>
            <w:shd w:val="clear" w:color="auto" w:fill="auto"/>
            <w:hideMark/>
          </w:tcPr>
          <w:p w14:paraId="4BA095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E5AC1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4EFBA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D618F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Marketing Strategy and Outreach Tactics:</w:t>
            </w:r>
          </w:p>
        </w:tc>
        <w:tc>
          <w:tcPr>
            <w:tcW w:w="6762" w:type="dxa"/>
            <w:tcBorders>
              <w:top w:val="nil"/>
              <w:left w:val="nil"/>
              <w:bottom w:val="single" w:sz="4" w:space="0" w:color="auto"/>
              <w:right w:val="single" w:sz="4" w:space="0" w:color="auto"/>
            </w:tcBorders>
            <w:shd w:val="clear" w:color="auto" w:fill="auto"/>
            <w:hideMark/>
          </w:tcPr>
          <w:p w14:paraId="0F89452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02DC4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EDA7A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40716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EFEAD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11ADB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comprehensive marketing strategy and outreach plan to maximize the impact of your campaign within the chosen duration. Utilize social media, email marketing, press releases, and targeted advertising to reach potential backers.</w:t>
            </w:r>
          </w:p>
        </w:tc>
        <w:tc>
          <w:tcPr>
            <w:tcW w:w="2566" w:type="dxa"/>
            <w:tcBorders>
              <w:top w:val="nil"/>
              <w:left w:val="nil"/>
              <w:bottom w:val="single" w:sz="4" w:space="0" w:color="auto"/>
              <w:right w:val="single" w:sz="4" w:space="0" w:color="auto"/>
            </w:tcBorders>
            <w:shd w:val="clear" w:color="auto" w:fill="auto"/>
            <w:hideMark/>
          </w:tcPr>
          <w:p w14:paraId="424173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F11A4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F464F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571A3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96107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Plan ahead for key campaign milestones, such as the launch date, midway point, and final push. Schedule regular updates and communication with backers to keep them engaged and informed throughout the campaign.</w:t>
            </w:r>
          </w:p>
        </w:tc>
        <w:tc>
          <w:tcPr>
            <w:tcW w:w="2566" w:type="dxa"/>
            <w:tcBorders>
              <w:top w:val="nil"/>
              <w:left w:val="nil"/>
              <w:bottom w:val="single" w:sz="4" w:space="0" w:color="auto"/>
              <w:right w:val="single" w:sz="4" w:space="0" w:color="auto"/>
            </w:tcBorders>
            <w:shd w:val="clear" w:color="auto" w:fill="auto"/>
            <w:hideMark/>
          </w:tcPr>
          <w:p w14:paraId="4F0286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C5207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289F9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251B3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 conclusion</w:t>
            </w:r>
          </w:p>
        </w:tc>
        <w:tc>
          <w:tcPr>
            <w:tcW w:w="6762" w:type="dxa"/>
            <w:tcBorders>
              <w:top w:val="nil"/>
              <w:left w:val="nil"/>
              <w:bottom w:val="single" w:sz="4" w:space="0" w:color="auto"/>
              <w:right w:val="single" w:sz="4" w:space="0" w:color="auto"/>
            </w:tcBorders>
            <w:shd w:val="clear" w:color="auto" w:fill="auto"/>
            <w:hideMark/>
          </w:tcPr>
          <w:p w14:paraId="54926B4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2AF35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652AAE"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577AB4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5FA28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EAF00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duration of your crowdfunding campaign should be carefully tailored to the complexity of your projects, the size of your funding goals, the attention span of your audience, and your marketing strategy. By striking the right balance and effectively engaging with your audience, you can create a compelling campaign that drives support for both PrimeBookOne and PrimeBookToolkit.</w:t>
            </w:r>
          </w:p>
        </w:tc>
        <w:tc>
          <w:tcPr>
            <w:tcW w:w="2566" w:type="dxa"/>
            <w:tcBorders>
              <w:top w:val="nil"/>
              <w:left w:val="nil"/>
              <w:bottom w:val="single" w:sz="4" w:space="0" w:color="auto"/>
              <w:right w:val="single" w:sz="4" w:space="0" w:color="auto"/>
            </w:tcBorders>
            <w:shd w:val="clear" w:color="auto" w:fill="auto"/>
            <w:hideMark/>
          </w:tcPr>
          <w:p w14:paraId="440643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D8A5C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72329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EAE1B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E2FFD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7D3E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7ED73C" w14:textId="77777777" w:rsidTr="0041317E">
        <w:trPr>
          <w:trHeight w:val="7200"/>
        </w:trPr>
        <w:tc>
          <w:tcPr>
            <w:tcW w:w="1349" w:type="dxa"/>
            <w:tcBorders>
              <w:top w:val="nil"/>
              <w:left w:val="single" w:sz="4" w:space="0" w:color="auto"/>
              <w:bottom w:val="single" w:sz="4" w:space="0" w:color="auto"/>
              <w:right w:val="single" w:sz="4" w:space="0" w:color="auto"/>
            </w:tcBorders>
            <w:shd w:val="clear" w:color="auto" w:fill="auto"/>
            <w:hideMark/>
          </w:tcPr>
          <w:p w14:paraId="175D279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6BC5040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Funding Goal: </w:t>
            </w:r>
          </w:p>
        </w:tc>
        <w:tc>
          <w:tcPr>
            <w:tcW w:w="6762" w:type="dxa"/>
            <w:tcBorders>
              <w:top w:val="nil"/>
              <w:left w:val="nil"/>
              <w:bottom w:val="single" w:sz="4" w:space="0" w:color="auto"/>
              <w:right w:val="single" w:sz="4" w:space="0" w:color="auto"/>
            </w:tcBorders>
            <w:shd w:val="clear" w:color="auto" w:fill="auto"/>
            <w:hideMark/>
          </w:tcPr>
          <w:p w14:paraId="00386C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Set a realistic funding goal that aligns with the project's budget and objectives. Break down the funding goal into specific budget items, such as research expenses, equipment costs, personnel salaries, and contingency funds. Communicate transparently with backers about how their contributions will be used to support the project.</w:t>
            </w:r>
          </w:p>
        </w:tc>
        <w:tc>
          <w:tcPr>
            <w:tcW w:w="2566" w:type="dxa"/>
            <w:tcBorders>
              <w:top w:val="nil"/>
              <w:left w:val="nil"/>
              <w:bottom w:val="single" w:sz="4" w:space="0" w:color="auto"/>
              <w:right w:val="single" w:sz="4" w:space="0" w:color="auto"/>
            </w:tcBorders>
            <w:shd w:val="clear" w:color="auto" w:fill="auto"/>
            <w:hideMark/>
          </w:tcPr>
          <w:p w14:paraId="0FA7D40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Being a one man team for the past two years with help from GPT, the necescity for extra programmers has been a thought to hire for limited time frames for certain code completion.  Full time employees would only be needed for Antikytherian while a voted for committee runs PrimeBookOne. Depending on the pendulum swing of who gains more investment, the needs for hardware are aimed at current home desktop and phone systems along with cloud server and a direction to quantum computing.  The research and development will vary depending upon the amount of resources sources.</w:t>
            </w:r>
          </w:p>
        </w:tc>
      </w:tr>
      <w:tr w:rsidR="0041317E" w:rsidRPr="0041317E" w14:paraId="6EE11E2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113D8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729D6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Assessment of Current Resources:</w:t>
            </w:r>
          </w:p>
        </w:tc>
        <w:tc>
          <w:tcPr>
            <w:tcW w:w="6762" w:type="dxa"/>
            <w:tcBorders>
              <w:top w:val="nil"/>
              <w:left w:val="nil"/>
              <w:bottom w:val="single" w:sz="4" w:space="0" w:color="auto"/>
              <w:right w:val="single" w:sz="4" w:space="0" w:color="auto"/>
            </w:tcBorders>
            <w:shd w:val="clear" w:color="auto" w:fill="auto"/>
            <w:hideMark/>
          </w:tcPr>
          <w:p w14:paraId="550E38F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DAC1CF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BB010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D4DBA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F3950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0A8B7B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Evaluate the resources you already have at your disposal, including your own efforts as a one-man team and support from GPT. Consider the progress made so far and the areas where additional resources are required to advance the project.</w:t>
            </w:r>
          </w:p>
        </w:tc>
        <w:tc>
          <w:tcPr>
            <w:tcW w:w="2566" w:type="dxa"/>
            <w:tcBorders>
              <w:top w:val="nil"/>
              <w:left w:val="nil"/>
              <w:bottom w:val="single" w:sz="4" w:space="0" w:color="auto"/>
              <w:right w:val="single" w:sz="4" w:space="0" w:color="auto"/>
            </w:tcBorders>
            <w:shd w:val="clear" w:color="auto" w:fill="auto"/>
            <w:hideMark/>
          </w:tcPr>
          <w:p w14:paraId="739D75B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D2660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323E91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B33A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DCFA4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Determine the specific tasks and components of PrimeBookOne and Antikytherian PrimeBookTools that necessitate additional funding, such as hiring programmers, acquiring equipment, conducting research, and covering operational expenses.</w:t>
            </w:r>
          </w:p>
        </w:tc>
        <w:tc>
          <w:tcPr>
            <w:tcW w:w="2566" w:type="dxa"/>
            <w:tcBorders>
              <w:top w:val="nil"/>
              <w:left w:val="nil"/>
              <w:bottom w:val="single" w:sz="4" w:space="0" w:color="auto"/>
              <w:right w:val="single" w:sz="4" w:space="0" w:color="auto"/>
            </w:tcBorders>
            <w:shd w:val="clear" w:color="auto" w:fill="auto"/>
            <w:hideMark/>
          </w:tcPr>
          <w:p w14:paraId="31F666C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B3899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6A093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41ACB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Personnel Costs and Hiring Plans:</w:t>
            </w:r>
          </w:p>
        </w:tc>
        <w:tc>
          <w:tcPr>
            <w:tcW w:w="6762" w:type="dxa"/>
            <w:tcBorders>
              <w:top w:val="nil"/>
              <w:left w:val="nil"/>
              <w:bottom w:val="single" w:sz="4" w:space="0" w:color="auto"/>
              <w:right w:val="single" w:sz="4" w:space="0" w:color="auto"/>
            </w:tcBorders>
            <w:shd w:val="clear" w:color="auto" w:fill="auto"/>
            <w:hideMark/>
          </w:tcPr>
          <w:p w14:paraId="678D1F6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BFADB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CFFD5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FB28B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A51E3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8466C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Assess the need for additional personnel, particularly programmers, to accelerate development and meet project milestones. Determine whether hiring full-time employees or engaging part-time contractors on a temporary basis would be more cost-effective and efficient.</w:t>
            </w:r>
          </w:p>
        </w:tc>
        <w:tc>
          <w:tcPr>
            <w:tcW w:w="2566" w:type="dxa"/>
            <w:tcBorders>
              <w:top w:val="nil"/>
              <w:left w:val="nil"/>
              <w:bottom w:val="single" w:sz="4" w:space="0" w:color="auto"/>
              <w:right w:val="single" w:sz="4" w:space="0" w:color="auto"/>
            </w:tcBorders>
            <w:shd w:val="clear" w:color="auto" w:fill="auto"/>
            <w:hideMark/>
          </w:tcPr>
          <w:p w14:paraId="2E6737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CDF85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E3667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33D10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6E6E58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Define the roles and responsibilities of new team members, outlining their contributions to PrimeBookOne and Antikytherian PrimeBookTools. Consider factors such as programming expertise, project management skills, and alignment with the project's goals and values.</w:t>
            </w:r>
          </w:p>
        </w:tc>
        <w:tc>
          <w:tcPr>
            <w:tcW w:w="2566" w:type="dxa"/>
            <w:tcBorders>
              <w:top w:val="nil"/>
              <w:left w:val="nil"/>
              <w:bottom w:val="single" w:sz="4" w:space="0" w:color="auto"/>
              <w:right w:val="single" w:sz="4" w:space="0" w:color="auto"/>
            </w:tcBorders>
            <w:shd w:val="clear" w:color="auto" w:fill="auto"/>
            <w:hideMark/>
          </w:tcPr>
          <w:p w14:paraId="52FFC8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EC39D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DBDBD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1EE70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Budget Allocation and Breakdown:</w:t>
            </w:r>
          </w:p>
        </w:tc>
        <w:tc>
          <w:tcPr>
            <w:tcW w:w="6762" w:type="dxa"/>
            <w:tcBorders>
              <w:top w:val="nil"/>
              <w:left w:val="nil"/>
              <w:bottom w:val="single" w:sz="4" w:space="0" w:color="auto"/>
              <w:right w:val="single" w:sz="4" w:space="0" w:color="auto"/>
            </w:tcBorders>
            <w:shd w:val="clear" w:color="auto" w:fill="auto"/>
            <w:hideMark/>
          </w:tcPr>
          <w:p w14:paraId="3390DE1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7A4F2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FD9F5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A73A0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D306A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AB3076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Break down the funding goal into specific budget items to provide transparency to backers about how their contributions will be utilized. Allocate funds for research expenses, equipment costs, personnel salaries, marketing and outreach efforts, and contingency funds.</w:t>
            </w:r>
          </w:p>
        </w:tc>
        <w:tc>
          <w:tcPr>
            <w:tcW w:w="2566" w:type="dxa"/>
            <w:tcBorders>
              <w:top w:val="nil"/>
              <w:left w:val="nil"/>
              <w:bottom w:val="single" w:sz="4" w:space="0" w:color="auto"/>
              <w:right w:val="single" w:sz="4" w:space="0" w:color="auto"/>
            </w:tcBorders>
            <w:shd w:val="clear" w:color="auto" w:fill="auto"/>
            <w:hideMark/>
          </w:tcPr>
          <w:p w14:paraId="612F4F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95A09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2D650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E988D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433E71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the budget allocation reflects the priorities and objectives of PrimeBookOne and Antikytherian PrimeBookTools. Consider factors such as the urgency of certain tasks, the potential impact on project outcomes, and the feasibility of achieving key milestones within the allocated budget.</w:t>
            </w:r>
          </w:p>
        </w:tc>
        <w:tc>
          <w:tcPr>
            <w:tcW w:w="2566" w:type="dxa"/>
            <w:tcBorders>
              <w:top w:val="nil"/>
              <w:left w:val="nil"/>
              <w:bottom w:val="single" w:sz="4" w:space="0" w:color="auto"/>
              <w:right w:val="single" w:sz="4" w:space="0" w:color="auto"/>
            </w:tcBorders>
            <w:shd w:val="clear" w:color="auto" w:fill="auto"/>
            <w:hideMark/>
          </w:tcPr>
          <w:p w14:paraId="26362E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04E91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23E24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14FBE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Communicating with Backers:</w:t>
            </w:r>
          </w:p>
        </w:tc>
        <w:tc>
          <w:tcPr>
            <w:tcW w:w="6762" w:type="dxa"/>
            <w:tcBorders>
              <w:top w:val="nil"/>
              <w:left w:val="nil"/>
              <w:bottom w:val="single" w:sz="4" w:space="0" w:color="auto"/>
              <w:right w:val="single" w:sz="4" w:space="0" w:color="auto"/>
            </w:tcBorders>
            <w:shd w:val="clear" w:color="auto" w:fill="auto"/>
            <w:hideMark/>
          </w:tcPr>
          <w:p w14:paraId="41105CB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BC2320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59197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B6EEEF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D1A0B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0F6E6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Communicate transparently with backers about the funding goal and how their contributions will be used to support the project. Provide detailed information about the budget breakdown, highlighting the importance of each budget item in advancing PrimeBookOne and Antikytherian PrimeBookTools.</w:t>
            </w:r>
          </w:p>
        </w:tc>
        <w:tc>
          <w:tcPr>
            <w:tcW w:w="2566" w:type="dxa"/>
            <w:tcBorders>
              <w:top w:val="nil"/>
              <w:left w:val="nil"/>
              <w:bottom w:val="single" w:sz="4" w:space="0" w:color="auto"/>
              <w:right w:val="single" w:sz="4" w:space="0" w:color="auto"/>
            </w:tcBorders>
            <w:shd w:val="clear" w:color="auto" w:fill="auto"/>
            <w:hideMark/>
          </w:tcPr>
          <w:p w14:paraId="0D0B9B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69939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23221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2CB17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A220D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Engage with backers throughout the campaign to address any questions or concerns they may have about the funding goal and budget allocation. Foster trust and confidence in the project by demonstrating accountability and transparency in financial matters.</w:t>
            </w:r>
          </w:p>
        </w:tc>
        <w:tc>
          <w:tcPr>
            <w:tcW w:w="2566" w:type="dxa"/>
            <w:tcBorders>
              <w:top w:val="nil"/>
              <w:left w:val="nil"/>
              <w:bottom w:val="single" w:sz="4" w:space="0" w:color="auto"/>
              <w:right w:val="single" w:sz="4" w:space="0" w:color="auto"/>
            </w:tcBorders>
            <w:shd w:val="clear" w:color="auto" w:fill="auto"/>
            <w:hideMark/>
          </w:tcPr>
          <w:p w14:paraId="17D1B7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5403C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44F13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BCDE7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Flexibility and Contingency Planning:</w:t>
            </w:r>
          </w:p>
        </w:tc>
        <w:tc>
          <w:tcPr>
            <w:tcW w:w="6762" w:type="dxa"/>
            <w:tcBorders>
              <w:top w:val="nil"/>
              <w:left w:val="nil"/>
              <w:bottom w:val="single" w:sz="4" w:space="0" w:color="auto"/>
              <w:right w:val="single" w:sz="4" w:space="0" w:color="auto"/>
            </w:tcBorders>
            <w:shd w:val="clear" w:color="auto" w:fill="auto"/>
            <w:hideMark/>
          </w:tcPr>
          <w:p w14:paraId="10AF53E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131674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97E73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520F1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E58A7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FEC02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Recognize that the funding goal may need to be adjusted based on evolving project needs, feedback from backers, and unforeseen challenges. Build flexibility into the budget to accommodate changes in resource requirements and prioritize the allocation of funds based on the most pressing needs.</w:t>
            </w:r>
          </w:p>
        </w:tc>
        <w:tc>
          <w:tcPr>
            <w:tcW w:w="2566" w:type="dxa"/>
            <w:tcBorders>
              <w:top w:val="nil"/>
              <w:left w:val="nil"/>
              <w:bottom w:val="single" w:sz="4" w:space="0" w:color="auto"/>
              <w:right w:val="single" w:sz="4" w:space="0" w:color="auto"/>
            </w:tcBorders>
            <w:shd w:val="clear" w:color="auto" w:fill="auto"/>
            <w:hideMark/>
          </w:tcPr>
          <w:p w14:paraId="1B1EF4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119A6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78CF7D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0D30C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314055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contingency plans to address potential risks and uncertainties that could impact the project's budget and timeline. Consider factors such as fluctuating costs, delays in development, and changes in market conditions, and identify strategies to mitigate these risks effectively.</w:t>
            </w:r>
          </w:p>
        </w:tc>
        <w:tc>
          <w:tcPr>
            <w:tcW w:w="2566" w:type="dxa"/>
            <w:tcBorders>
              <w:top w:val="nil"/>
              <w:left w:val="nil"/>
              <w:bottom w:val="single" w:sz="4" w:space="0" w:color="auto"/>
              <w:right w:val="single" w:sz="4" w:space="0" w:color="auto"/>
            </w:tcBorders>
            <w:shd w:val="clear" w:color="auto" w:fill="auto"/>
            <w:hideMark/>
          </w:tcPr>
          <w:p w14:paraId="021D174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05B1A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B5D95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479F6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In conclusion</w:t>
            </w:r>
          </w:p>
        </w:tc>
        <w:tc>
          <w:tcPr>
            <w:tcW w:w="6762" w:type="dxa"/>
            <w:tcBorders>
              <w:top w:val="nil"/>
              <w:left w:val="nil"/>
              <w:bottom w:val="single" w:sz="4" w:space="0" w:color="auto"/>
              <w:right w:val="single" w:sz="4" w:space="0" w:color="auto"/>
            </w:tcBorders>
            <w:shd w:val="clear" w:color="auto" w:fill="auto"/>
            <w:hideMark/>
          </w:tcPr>
          <w:p w14:paraId="76BBF1E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33C65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6D72CC"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787D263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30D27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0622A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setting a realistic funding goal for your crowdfunding campaign involves a thorough assessment of resource needs, budget allocation, and communication with backers. By transparently communicating the project's objectives and budget breakdown, you can build trust and confidence among backers and increase the likelihood of achieving your funding goal for PrimeBookOne and Antikytherian PrimeBookTools.</w:t>
            </w:r>
          </w:p>
        </w:tc>
        <w:tc>
          <w:tcPr>
            <w:tcW w:w="2566" w:type="dxa"/>
            <w:tcBorders>
              <w:top w:val="nil"/>
              <w:left w:val="nil"/>
              <w:bottom w:val="single" w:sz="4" w:space="0" w:color="auto"/>
              <w:right w:val="single" w:sz="4" w:space="0" w:color="auto"/>
            </w:tcBorders>
            <w:shd w:val="clear" w:color="auto" w:fill="auto"/>
            <w:hideMark/>
          </w:tcPr>
          <w:p w14:paraId="566B2B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34B01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9D9EE8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A0728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569BC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BA403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73E7A2" w14:textId="77777777" w:rsidTr="0041317E">
        <w:trPr>
          <w:trHeight w:val="3744"/>
        </w:trPr>
        <w:tc>
          <w:tcPr>
            <w:tcW w:w="1349" w:type="dxa"/>
            <w:tcBorders>
              <w:top w:val="nil"/>
              <w:left w:val="single" w:sz="4" w:space="0" w:color="auto"/>
              <w:bottom w:val="single" w:sz="4" w:space="0" w:color="auto"/>
              <w:right w:val="single" w:sz="4" w:space="0" w:color="auto"/>
            </w:tcBorders>
            <w:shd w:val="clear" w:color="auto" w:fill="auto"/>
            <w:hideMark/>
          </w:tcPr>
          <w:p w14:paraId="1655345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5DC66F8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Rewards for Backers: </w:t>
            </w:r>
          </w:p>
        </w:tc>
        <w:tc>
          <w:tcPr>
            <w:tcW w:w="6762" w:type="dxa"/>
            <w:tcBorders>
              <w:top w:val="nil"/>
              <w:left w:val="nil"/>
              <w:bottom w:val="single" w:sz="4" w:space="0" w:color="auto"/>
              <w:right w:val="single" w:sz="4" w:space="0" w:color="auto"/>
            </w:tcBorders>
            <w:shd w:val="clear" w:color="auto" w:fill="auto"/>
            <w:hideMark/>
          </w:tcPr>
          <w:p w14:paraId="20B0B00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Design a tiered reward system to incentivize backers at different contribution levels. Offer a range of rewards that appeal to different interests and budgets, such as exclusive project updates, digital downloads, merchandise, acknowledgment in research publications, or opportunities to participate in project-related activities or events.</w:t>
            </w:r>
          </w:p>
        </w:tc>
        <w:tc>
          <w:tcPr>
            <w:tcW w:w="2566" w:type="dxa"/>
            <w:tcBorders>
              <w:top w:val="nil"/>
              <w:left w:val="nil"/>
              <w:bottom w:val="single" w:sz="4" w:space="0" w:color="auto"/>
              <w:right w:val="single" w:sz="4" w:space="0" w:color="auto"/>
            </w:tcBorders>
            <w:shd w:val="clear" w:color="auto" w:fill="auto"/>
            <w:hideMark/>
          </w:tcPr>
          <w:p w14:paraId="355D182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Source 1 Antikytherian Investor Shares Tier. Source 2 PrimeBookOne Investor Gratitude Committee Decided.  Investor Access to Internal Status Updates. With a purchase from the merchandise store acts as an investment towards PrimeBookTools. Investor incentive to recommend ideas for PrimeBookOne and PrimeBookTools.</w:t>
            </w:r>
          </w:p>
        </w:tc>
      </w:tr>
      <w:tr w:rsidR="0041317E" w:rsidRPr="0041317E" w14:paraId="6248CFA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C8A01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6588B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Source 1: Antikytherian Investor Shares Tier:</w:t>
            </w:r>
          </w:p>
        </w:tc>
        <w:tc>
          <w:tcPr>
            <w:tcW w:w="6762" w:type="dxa"/>
            <w:tcBorders>
              <w:top w:val="nil"/>
              <w:left w:val="nil"/>
              <w:bottom w:val="single" w:sz="4" w:space="0" w:color="auto"/>
              <w:right w:val="single" w:sz="4" w:space="0" w:color="auto"/>
            </w:tcBorders>
            <w:shd w:val="clear" w:color="auto" w:fill="auto"/>
            <w:hideMark/>
          </w:tcPr>
          <w:p w14:paraId="6339BCD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90DD2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3494D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E52F5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A8275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FB377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backers the opportunity to invest in Antikytherian PrimeBookTools through a tiered system of investor shares. Define different investment tiers that correspond to varying levels of financial commitment, allowing backers to choose the level that best fits their budget and investment goals.</w:t>
            </w:r>
          </w:p>
        </w:tc>
        <w:tc>
          <w:tcPr>
            <w:tcW w:w="2566" w:type="dxa"/>
            <w:tcBorders>
              <w:top w:val="nil"/>
              <w:left w:val="nil"/>
              <w:bottom w:val="single" w:sz="4" w:space="0" w:color="auto"/>
              <w:right w:val="single" w:sz="4" w:space="0" w:color="auto"/>
            </w:tcBorders>
            <w:shd w:val="clear" w:color="auto" w:fill="auto"/>
            <w:hideMark/>
          </w:tcPr>
          <w:p w14:paraId="608B7C8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B6E61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63EE1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5D22A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07E50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clear information about the benefits and potential returns associated with each investment tier, including dividends, voting rights, and access to exclusive investor updates and events.</w:t>
            </w:r>
          </w:p>
        </w:tc>
        <w:tc>
          <w:tcPr>
            <w:tcW w:w="2566" w:type="dxa"/>
            <w:tcBorders>
              <w:top w:val="nil"/>
              <w:left w:val="nil"/>
              <w:bottom w:val="single" w:sz="4" w:space="0" w:color="auto"/>
              <w:right w:val="single" w:sz="4" w:space="0" w:color="auto"/>
            </w:tcBorders>
            <w:shd w:val="clear" w:color="auto" w:fill="auto"/>
            <w:hideMark/>
          </w:tcPr>
          <w:p w14:paraId="06EAB88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F93CD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4A5FDA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0024A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8B6E6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a transparent and legally compliant process for managing investor shares, ensuring that backers understand the terms and conditions of their investment and receive regular updates on the performance of Antikytherian PrimeBookTools.</w:t>
            </w:r>
          </w:p>
        </w:tc>
        <w:tc>
          <w:tcPr>
            <w:tcW w:w="2566" w:type="dxa"/>
            <w:tcBorders>
              <w:top w:val="nil"/>
              <w:left w:val="nil"/>
              <w:bottom w:val="single" w:sz="4" w:space="0" w:color="auto"/>
              <w:right w:val="single" w:sz="4" w:space="0" w:color="auto"/>
            </w:tcBorders>
            <w:shd w:val="clear" w:color="auto" w:fill="auto"/>
            <w:hideMark/>
          </w:tcPr>
          <w:p w14:paraId="4717BE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987F5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8A0FFB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7E0AA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Source 2: PrimeBookOne Investor Gratitude Committee Decided:</w:t>
            </w:r>
          </w:p>
        </w:tc>
        <w:tc>
          <w:tcPr>
            <w:tcW w:w="6762" w:type="dxa"/>
            <w:tcBorders>
              <w:top w:val="nil"/>
              <w:left w:val="nil"/>
              <w:bottom w:val="single" w:sz="4" w:space="0" w:color="auto"/>
              <w:right w:val="single" w:sz="4" w:space="0" w:color="auto"/>
            </w:tcBorders>
            <w:shd w:val="clear" w:color="auto" w:fill="auto"/>
            <w:hideMark/>
          </w:tcPr>
          <w:p w14:paraId="456AC0D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B73F55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E8622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7594F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5610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8BF54F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Establish a committee comprised of backers and key stakeholders to decide on rewards for PrimeBookOne investors. This committee can represent the interests of backers and ensure that rewards align with the project's goals and values.</w:t>
            </w:r>
          </w:p>
        </w:tc>
        <w:tc>
          <w:tcPr>
            <w:tcW w:w="2566" w:type="dxa"/>
            <w:tcBorders>
              <w:top w:val="nil"/>
              <w:left w:val="nil"/>
              <w:bottom w:val="single" w:sz="4" w:space="0" w:color="auto"/>
              <w:right w:val="single" w:sz="4" w:space="0" w:color="auto"/>
            </w:tcBorders>
            <w:shd w:val="clear" w:color="auto" w:fill="auto"/>
            <w:hideMark/>
          </w:tcPr>
          <w:p w14:paraId="6F2A9D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B3928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E0A76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7930A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4D7A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backers to submit ideas and suggestions for rewards, fostering a sense of ownership and engagement with the campaign. The committee can review these suggestions and select rewards that offer meaningful value to backers while supporting the success of PrimeBookOne.</w:t>
            </w:r>
          </w:p>
        </w:tc>
        <w:tc>
          <w:tcPr>
            <w:tcW w:w="2566" w:type="dxa"/>
            <w:tcBorders>
              <w:top w:val="nil"/>
              <w:left w:val="nil"/>
              <w:bottom w:val="single" w:sz="4" w:space="0" w:color="auto"/>
              <w:right w:val="single" w:sz="4" w:space="0" w:color="auto"/>
            </w:tcBorders>
            <w:shd w:val="clear" w:color="auto" w:fill="auto"/>
            <w:hideMark/>
          </w:tcPr>
          <w:p w14:paraId="6D52DB4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9B3766" w14:textId="77777777" w:rsidTr="0041317E">
        <w:trPr>
          <w:trHeight w:val="4992"/>
        </w:trPr>
        <w:tc>
          <w:tcPr>
            <w:tcW w:w="1349" w:type="dxa"/>
            <w:tcBorders>
              <w:top w:val="nil"/>
              <w:left w:val="single" w:sz="4" w:space="0" w:color="auto"/>
              <w:bottom w:val="single" w:sz="4" w:space="0" w:color="auto"/>
              <w:right w:val="single" w:sz="4" w:space="0" w:color="auto"/>
            </w:tcBorders>
            <w:shd w:val="clear" w:color="auto" w:fill="auto"/>
            <w:hideMark/>
          </w:tcPr>
          <w:p w14:paraId="6A092D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25FC6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Ensure transparency and accountability in the decision-making process, providing regular updates on the committee's discussions and decisions regarding rewards for backers.</w:t>
            </w:r>
          </w:p>
        </w:tc>
        <w:tc>
          <w:tcPr>
            <w:tcW w:w="6762" w:type="dxa"/>
            <w:tcBorders>
              <w:top w:val="nil"/>
              <w:left w:val="nil"/>
              <w:bottom w:val="single" w:sz="4" w:space="0" w:color="auto"/>
              <w:right w:val="single" w:sz="4" w:space="0" w:color="auto"/>
            </w:tcBorders>
            <w:shd w:val="clear" w:color="auto" w:fill="auto"/>
            <w:hideMark/>
          </w:tcPr>
          <w:p w14:paraId="3551B8E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B2ECD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0EA09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6A927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681AD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DB902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Investor Access to Internal Status Updates:</w:t>
            </w:r>
          </w:p>
        </w:tc>
        <w:tc>
          <w:tcPr>
            <w:tcW w:w="2566" w:type="dxa"/>
            <w:tcBorders>
              <w:top w:val="nil"/>
              <w:left w:val="nil"/>
              <w:bottom w:val="single" w:sz="4" w:space="0" w:color="auto"/>
              <w:right w:val="single" w:sz="4" w:space="0" w:color="auto"/>
            </w:tcBorders>
            <w:shd w:val="clear" w:color="auto" w:fill="auto"/>
            <w:hideMark/>
          </w:tcPr>
          <w:p w14:paraId="48375D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976CC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F3434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E106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3B2198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backers exclusive access to internal status updates and progress reports on the development of PrimeBookOne and Antikytherian PrimeBookTools. This insider access provides backers with valuable insights into the project's achievements, challenges, and milestones, enhancing their sense of involvement and investment in the campaign.</w:t>
            </w:r>
          </w:p>
        </w:tc>
        <w:tc>
          <w:tcPr>
            <w:tcW w:w="2566" w:type="dxa"/>
            <w:tcBorders>
              <w:top w:val="nil"/>
              <w:left w:val="nil"/>
              <w:bottom w:val="single" w:sz="4" w:space="0" w:color="auto"/>
              <w:right w:val="single" w:sz="4" w:space="0" w:color="auto"/>
            </w:tcBorders>
            <w:shd w:val="clear" w:color="auto" w:fill="auto"/>
            <w:hideMark/>
          </w:tcPr>
          <w:p w14:paraId="428962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29045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B3504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ED41A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7FC9CA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Communicate regularly with backers through email updates, newsletters, or dedicated online platforms, sharing behind-the-scenes content, development updates, and opportunities for feedback and collaboration.</w:t>
            </w:r>
          </w:p>
        </w:tc>
        <w:tc>
          <w:tcPr>
            <w:tcW w:w="2566" w:type="dxa"/>
            <w:tcBorders>
              <w:top w:val="nil"/>
              <w:left w:val="nil"/>
              <w:bottom w:val="single" w:sz="4" w:space="0" w:color="auto"/>
              <w:right w:val="single" w:sz="4" w:space="0" w:color="auto"/>
            </w:tcBorders>
            <w:shd w:val="clear" w:color="auto" w:fill="auto"/>
            <w:hideMark/>
          </w:tcPr>
          <w:p w14:paraId="011380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8B4642"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1497FD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E0690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Merchandise Store as an Investment Towards PrimeBookTools:</w:t>
            </w:r>
          </w:p>
        </w:tc>
        <w:tc>
          <w:tcPr>
            <w:tcW w:w="6762" w:type="dxa"/>
            <w:tcBorders>
              <w:top w:val="nil"/>
              <w:left w:val="nil"/>
              <w:bottom w:val="single" w:sz="4" w:space="0" w:color="auto"/>
              <w:right w:val="single" w:sz="4" w:space="0" w:color="auto"/>
            </w:tcBorders>
            <w:shd w:val="clear" w:color="auto" w:fill="auto"/>
            <w:hideMark/>
          </w:tcPr>
          <w:p w14:paraId="2D28FB0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832B66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9E4B2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61333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A9F57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3B51B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a merchandise store featuring branded items related to PrimeBookOne and Antikytherian PrimeBookTools, such as t-shirts, mugs, stickers, and posters. Offer backers the opportunity to purchase merchandise as a way to support the project financially and show their enthusiasm for the initiative.</w:t>
            </w:r>
          </w:p>
        </w:tc>
        <w:tc>
          <w:tcPr>
            <w:tcW w:w="2566" w:type="dxa"/>
            <w:tcBorders>
              <w:top w:val="nil"/>
              <w:left w:val="nil"/>
              <w:bottom w:val="single" w:sz="4" w:space="0" w:color="auto"/>
              <w:right w:val="single" w:sz="4" w:space="0" w:color="auto"/>
            </w:tcBorders>
            <w:shd w:val="clear" w:color="auto" w:fill="auto"/>
            <w:hideMark/>
          </w:tcPr>
          <w:p w14:paraId="06B9BD4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2A302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9B681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8BF2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DBEAD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Allocate a portion of the proceeds from merchandise sales towards the development and advancement of PrimeBookTools, providing backers with a tangible way to contribute to the project's success while receiving a unique and meaningful reward in return.</w:t>
            </w:r>
          </w:p>
        </w:tc>
        <w:tc>
          <w:tcPr>
            <w:tcW w:w="2566" w:type="dxa"/>
            <w:tcBorders>
              <w:top w:val="nil"/>
              <w:left w:val="nil"/>
              <w:bottom w:val="single" w:sz="4" w:space="0" w:color="auto"/>
              <w:right w:val="single" w:sz="4" w:space="0" w:color="auto"/>
            </w:tcBorders>
            <w:shd w:val="clear" w:color="auto" w:fill="auto"/>
            <w:hideMark/>
          </w:tcPr>
          <w:p w14:paraId="27CDE7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15141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A86A9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1DAEB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Investor Incentive for Idea Recommendations:</w:t>
            </w:r>
          </w:p>
        </w:tc>
        <w:tc>
          <w:tcPr>
            <w:tcW w:w="6762" w:type="dxa"/>
            <w:tcBorders>
              <w:top w:val="nil"/>
              <w:left w:val="nil"/>
              <w:bottom w:val="single" w:sz="4" w:space="0" w:color="auto"/>
              <w:right w:val="single" w:sz="4" w:space="0" w:color="auto"/>
            </w:tcBorders>
            <w:shd w:val="clear" w:color="auto" w:fill="auto"/>
            <w:hideMark/>
          </w:tcPr>
          <w:p w14:paraId="4CC42AD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CAD94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DC6EB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5B12C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10518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152D9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backers to recommend ideas and suggestions for improving PrimeBookOne and PrimeBookTools, offering incentives such as special recognition, exclusive access to beta testing, or invitations to participate in brainstorming sessions or focus groups.</w:t>
            </w:r>
          </w:p>
        </w:tc>
        <w:tc>
          <w:tcPr>
            <w:tcW w:w="2566" w:type="dxa"/>
            <w:tcBorders>
              <w:top w:val="nil"/>
              <w:left w:val="nil"/>
              <w:bottom w:val="single" w:sz="4" w:space="0" w:color="auto"/>
              <w:right w:val="single" w:sz="4" w:space="0" w:color="auto"/>
            </w:tcBorders>
            <w:shd w:val="clear" w:color="auto" w:fill="auto"/>
            <w:hideMark/>
          </w:tcPr>
          <w:p w14:paraId="2183E4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0BC6B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29065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9C7FF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6E530C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a feedback mechanism for collecting and evaluating idea recommendations from backers, allowing them to contribute their insights and expertise to the project's development and refinement.</w:t>
            </w:r>
          </w:p>
        </w:tc>
        <w:tc>
          <w:tcPr>
            <w:tcW w:w="2566" w:type="dxa"/>
            <w:tcBorders>
              <w:top w:val="nil"/>
              <w:left w:val="nil"/>
              <w:bottom w:val="single" w:sz="4" w:space="0" w:color="auto"/>
              <w:right w:val="single" w:sz="4" w:space="0" w:color="auto"/>
            </w:tcBorders>
            <w:shd w:val="clear" w:color="auto" w:fill="auto"/>
            <w:hideMark/>
          </w:tcPr>
          <w:p w14:paraId="318DB95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2F2B9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FD28C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58A1A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3EF89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Acknowledge and reward backers whose ideas are implemented or significantly contribute to the success of PrimeBookOne and Antikytherian PrimeBookTools, reinforcing their sense of ownership and investment in the project's outcomes.</w:t>
            </w:r>
          </w:p>
        </w:tc>
        <w:tc>
          <w:tcPr>
            <w:tcW w:w="2566" w:type="dxa"/>
            <w:tcBorders>
              <w:top w:val="nil"/>
              <w:left w:val="nil"/>
              <w:bottom w:val="single" w:sz="4" w:space="0" w:color="auto"/>
              <w:right w:val="single" w:sz="4" w:space="0" w:color="auto"/>
            </w:tcBorders>
            <w:shd w:val="clear" w:color="auto" w:fill="auto"/>
            <w:hideMark/>
          </w:tcPr>
          <w:p w14:paraId="74D44A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4A0D4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FA922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AE498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In conclusion</w:t>
            </w:r>
          </w:p>
        </w:tc>
        <w:tc>
          <w:tcPr>
            <w:tcW w:w="6762" w:type="dxa"/>
            <w:tcBorders>
              <w:top w:val="nil"/>
              <w:left w:val="nil"/>
              <w:bottom w:val="single" w:sz="4" w:space="0" w:color="auto"/>
              <w:right w:val="single" w:sz="4" w:space="0" w:color="auto"/>
            </w:tcBorders>
            <w:shd w:val="clear" w:color="auto" w:fill="auto"/>
            <w:hideMark/>
          </w:tcPr>
          <w:p w14:paraId="5747689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983D9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730FFB" w14:textId="77777777" w:rsidTr="0041317E">
        <w:trPr>
          <w:trHeight w:val="2496"/>
        </w:trPr>
        <w:tc>
          <w:tcPr>
            <w:tcW w:w="1349" w:type="dxa"/>
            <w:tcBorders>
              <w:top w:val="nil"/>
              <w:left w:val="single" w:sz="4" w:space="0" w:color="auto"/>
              <w:bottom w:val="single" w:sz="4" w:space="0" w:color="auto"/>
              <w:right w:val="single" w:sz="4" w:space="0" w:color="auto"/>
            </w:tcBorders>
            <w:shd w:val="clear" w:color="auto" w:fill="auto"/>
            <w:hideMark/>
          </w:tcPr>
          <w:p w14:paraId="6DEBA79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894D6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6B81C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designing a tiered rewards system that encompasses financial investment opportunities, exclusive access to updates and events, merchandise offerings, and incentives for idea recommendations can enhance the appeal and effectiveness of your crowdfunding campaign for PrimeBookOne and Antikytherian PrimeBookTools. By catering to the diverse interests and preferences of backers, you can maximize engagement and support for the project while providing meaningful value in return for their contributions.</w:t>
            </w:r>
          </w:p>
        </w:tc>
        <w:tc>
          <w:tcPr>
            <w:tcW w:w="2566" w:type="dxa"/>
            <w:tcBorders>
              <w:top w:val="nil"/>
              <w:left w:val="nil"/>
              <w:bottom w:val="single" w:sz="4" w:space="0" w:color="auto"/>
              <w:right w:val="single" w:sz="4" w:space="0" w:color="auto"/>
            </w:tcBorders>
            <w:shd w:val="clear" w:color="auto" w:fill="auto"/>
            <w:hideMark/>
          </w:tcPr>
          <w:p w14:paraId="115F41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65136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F38C2D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975D7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EA64D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72B839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B7DA32" w14:textId="77777777" w:rsidTr="0041317E">
        <w:trPr>
          <w:trHeight w:val="2592"/>
        </w:trPr>
        <w:tc>
          <w:tcPr>
            <w:tcW w:w="1349" w:type="dxa"/>
            <w:tcBorders>
              <w:top w:val="nil"/>
              <w:left w:val="single" w:sz="4" w:space="0" w:color="auto"/>
              <w:bottom w:val="single" w:sz="4" w:space="0" w:color="auto"/>
              <w:right w:val="single" w:sz="4" w:space="0" w:color="auto"/>
            </w:tcBorders>
            <w:shd w:val="clear" w:color="auto" w:fill="auto"/>
            <w:hideMark/>
          </w:tcPr>
          <w:p w14:paraId="3FA50E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3A2D59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Marketing Strategy: </w:t>
            </w:r>
          </w:p>
        </w:tc>
        <w:tc>
          <w:tcPr>
            <w:tcW w:w="6762" w:type="dxa"/>
            <w:tcBorders>
              <w:top w:val="nil"/>
              <w:left w:val="nil"/>
              <w:bottom w:val="single" w:sz="4" w:space="0" w:color="auto"/>
              <w:right w:val="single" w:sz="4" w:space="0" w:color="auto"/>
            </w:tcBorders>
            <w:shd w:val="clear" w:color="auto" w:fill="auto"/>
            <w:hideMark/>
          </w:tcPr>
          <w:p w14:paraId="78D40D6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a comprehensive marketing strategy to promote the crowd funding campaign and maximize its reach and impact. This may include:</w:t>
            </w:r>
          </w:p>
        </w:tc>
        <w:tc>
          <w:tcPr>
            <w:tcW w:w="2566" w:type="dxa"/>
            <w:tcBorders>
              <w:top w:val="nil"/>
              <w:left w:val="nil"/>
              <w:bottom w:val="single" w:sz="4" w:space="0" w:color="auto"/>
              <w:right w:val="single" w:sz="4" w:space="0" w:color="auto"/>
            </w:tcBorders>
            <w:shd w:val="clear" w:color="auto" w:fill="auto"/>
            <w:hideMark/>
          </w:tcPr>
          <w:p w14:paraId="7A128C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Maximise the largest audience and also new audience awareness of the importance of primes.  From scientists to business individuals to regular game users who can benefit from computing primes, humanity.</w:t>
            </w:r>
          </w:p>
        </w:tc>
      </w:tr>
      <w:tr w:rsidR="0041317E" w:rsidRPr="0041317E" w14:paraId="77608C2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C3A75A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BF3D3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9C226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Developing a comprehensive marketing strategy is essential for promoting your crowdfunding campaign and reaching a wide audience to maximize its success. Let's delve into the details of crafting an effective marketing strategy focused on raising awareness about the importance of primes and engaging diverse audience segments:</w:t>
            </w:r>
          </w:p>
        </w:tc>
        <w:tc>
          <w:tcPr>
            <w:tcW w:w="2566" w:type="dxa"/>
            <w:tcBorders>
              <w:top w:val="nil"/>
              <w:left w:val="nil"/>
              <w:bottom w:val="single" w:sz="4" w:space="0" w:color="auto"/>
              <w:right w:val="single" w:sz="4" w:space="0" w:color="auto"/>
            </w:tcBorders>
            <w:shd w:val="clear" w:color="auto" w:fill="auto"/>
            <w:hideMark/>
          </w:tcPr>
          <w:p w14:paraId="18E07E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7EAE4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DED5D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24287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Identify Target Audience Segments:</w:t>
            </w:r>
          </w:p>
        </w:tc>
        <w:tc>
          <w:tcPr>
            <w:tcW w:w="6762" w:type="dxa"/>
            <w:tcBorders>
              <w:top w:val="nil"/>
              <w:left w:val="nil"/>
              <w:bottom w:val="single" w:sz="4" w:space="0" w:color="auto"/>
              <w:right w:val="single" w:sz="4" w:space="0" w:color="auto"/>
            </w:tcBorders>
            <w:shd w:val="clear" w:color="auto" w:fill="auto"/>
            <w:hideMark/>
          </w:tcPr>
          <w:p w14:paraId="5431D32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7E11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1700C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FEFF5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A2E81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AE6EB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market research to identify key audience segments interested in prime numbers and their applications. This may include scientists, mathematicians, educators, technology enthusiasts, entrepreneurs, investors, and the general public.</w:t>
            </w:r>
          </w:p>
        </w:tc>
        <w:tc>
          <w:tcPr>
            <w:tcW w:w="2566" w:type="dxa"/>
            <w:tcBorders>
              <w:top w:val="nil"/>
              <w:left w:val="nil"/>
              <w:bottom w:val="single" w:sz="4" w:space="0" w:color="auto"/>
              <w:right w:val="single" w:sz="4" w:space="0" w:color="auto"/>
            </w:tcBorders>
            <w:shd w:val="clear" w:color="auto" w:fill="auto"/>
            <w:hideMark/>
          </w:tcPr>
          <w:p w14:paraId="3DDAD48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17D22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0868B3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96C50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11321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 your audience based on demographics, interests, behavior, and needs to tailor your marketing messages and outreach efforts effectively.</w:t>
            </w:r>
          </w:p>
        </w:tc>
        <w:tc>
          <w:tcPr>
            <w:tcW w:w="2566" w:type="dxa"/>
            <w:tcBorders>
              <w:top w:val="nil"/>
              <w:left w:val="nil"/>
              <w:bottom w:val="single" w:sz="4" w:space="0" w:color="auto"/>
              <w:right w:val="single" w:sz="4" w:space="0" w:color="auto"/>
            </w:tcBorders>
            <w:shd w:val="clear" w:color="auto" w:fill="auto"/>
            <w:hideMark/>
          </w:tcPr>
          <w:p w14:paraId="19BADF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3FA63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9E69E3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50F26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Craft Compelling Messaging:</w:t>
            </w:r>
          </w:p>
        </w:tc>
        <w:tc>
          <w:tcPr>
            <w:tcW w:w="6762" w:type="dxa"/>
            <w:tcBorders>
              <w:top w:val="nil"/>
              <w:left w:val="nil"/>
              <w:bottom w:val="single" w:sz="4" w:space="0" w:color="auto"/>
              <w:right w:val="single" w:sz="4" w:space="0" w:color="auto"/>
            </w:tcBorders>
            <w:shd w:val="clear" w:color="auto" w:fill="auto"/>
            <w:hideMark/>
          </w:tcPr>
          <w:p w14:paraId="7F7069C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97DE8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5605A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3D99F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BEFDF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022C56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clear, concise, and compelling messaging that highlights the significance of primes and how your project addresses real-world challenges or opportunities. Emphasize the practical applications, scientific discoveries, and societal impact of advancing prime number theory.</w:t>
            </w:r>
          </w:p>
        </w:tc>
        <w:tc>
          <w:tcPr>
            <w:tcW w:w="2566" w:type="dxa"/>
            <w:tcBorders>
              <w:top w:val="nil"/>
              <w:left w:val="nil"/>
              <w:bottom w:val="single" w:sz="4" w:space="0" w:color="auto"/>
              <w:right w:val="single" w:sz="4" w:space="0" w:color="auto"/>
            </w:tcBorders>
            <w:shd w:val="clear" w:color="auto" w:fill="auto"/>
            <w:hideMark/>
          </w:tcPr>
          <w:p w14:paraId="10FBC8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3FB4B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D23AE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D95FD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A3EDEF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language that resonates with each audience segment, conveying the value proposition of your project in a way that speaks to their interests and motivations.</w:t>
            </w:r>
          </w:p>
        </w:tc>
        <w:tc>
          <w:tcPr>
            <w:tcW w:w="2566" w:type="dxa"/>
            <w:tcBorders>
              <w:top w:val="nil"/>
              <w:left w:val="nil"/>
              <w:bottom w:val="single" w:sz="4" w:space="0" w:color="auto"/>
              <w:right w:val="single" w:sz="4" w:space="0" w:color="auto"/>
            </w:tcBorders>
            <w:shd w:val="clear" w:color="auto" w:fill="auto"/>
            <w:hideMark/>
          </w:tcPr>
          <w:p w14:paraId="08FCD9E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9D337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205268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A4C70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Utilize Multiple Marketing Channels:</w:t>
            </w:r>
          </w:p>
        </w:tc>
        <w:tc>
          <w:tcPr>
            <w:tcW w:w="6762" w:type="dxa"/>
            <w:tcBorders>
              <w:top w:val="nil"/>
              <w:left w:val="nil"/>
              <w:bottom w:val="single" w:sz="4" w:space="0" w:color="auto"/>
              <w:right w:val="single" w:sz="4" w:space="0" w:color="auto"/>
            </w:tcBorders>
            <w:shd w:val="clear" w:color="auto" w:fill="auto"/>
            <w:hideMark/>
          </w:tcPr>
          <w:p w14:paraId="4E749FF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B2A0F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B7525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4CB2DD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ABAA3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1ADD08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a multi-channel marketing approach to reach a diverse audience across various platforms and mediums. This may include social media (e.g., Facebook, Twitter, LinkedIn, Instagram), email newsletters, website/blog content, press releases, online forums, and targeted advertising campaigns.</w:t>
            </w:r>
          </w:p>
        </w:tc>
        <w:tc>
          <w:tcPr>
            <w:tcW w:w="2566" w:type="dxa"/>
            <w:tcBorders>
              <w:top w:val="nil"/>
              <w:left w:val="nil"/>
              <w:bottom w:val="single" w:sz="4" w:space="0" w:color="auto"/>
              <w:right w:val="single" w:sz="4" w:space="0" w:color="auto"/>
            </w:tcBorders>
            <w:shd w:val="clear" w:color="auto" w:fill="auto"/>
            <w:hideMark/>
          </w:tcPr>
          <w:p w14:paraId="2425AF0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D3172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7DDB3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3E4F6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786C0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both organic and paid marketing strategies to expand your campaign's reach and visibility, utilizing hashtags, keywords, and trending topics to amplify your messaging and attract attention.</w:t>
            </w:r>
          </w:p>
        </w:tc>
        <w:tc>
          <w:tcPr>
            <w:tcW w:w="2566" w:type="dxa"/>
            <w:tcBorders>
              <w:top w:val="nil"/>
              <w:left w:val="nil"/>
              <w:bottom w:val="single" w:sz="4" w:space="0" w:color="auto"/>
              <w:right w:val="single" w:sz="4" w:space="0" w:color="auto"/>
            </w:tcBorders>
            <w:shd w:val="clear" w:color="auto" w:fill="auto"/>
            <w:hideMark/>
          </w:tcPr>
          <w:p w14:paraId="1AD4DA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27FFC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72CA2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65555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Engage Influencers and Thought Leaders:</w:t>
            </w:r>
          </w:p>
        </w:tc>
        <w:tc>
          <w:tcPr>
            <w:tcW w:w="6762" w:type="dxa"/>
            <w:tcBorders>
              <w:top w:val="nil"/>
              <w:left w:val="nil"/>
              <w:bottom w:val="single" w:sz="4" w:space="0" w:color="auto"/>
              <w:right w:val="single" w:sz="4" w:space="0" w:color="auto"/>
            </w:tcBorders>
            <w:shd w:val="clear" w:color="auto" w:fill="auto"/>
            <w:hideMark/>
          </w:tcPr>
          <w:p w14:paraId="2887BB1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20CB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76386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48CCC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8AC4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EAC61C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Collaborate with influencers, thought leaders, and subject matter experts in mathematics, science, technology, and entrepreneurship to endorse and promote your crowdfunding campaign. Their credibility and reach can significantly boost your campaign's credibility and attract new backers.</w:t>
            </w:r>
          </w:p>
        </w:tc>
        <w:tc>
          <w:tcPr>
            <w:tcW w:w="2566" w:type="dxa"/>
            <w:tcBorders>
              <w:top w:val="nil"/>
              <w:left w:val="nil"/>
              <w:bottom w:val="single" w:sz="4" w:space="0" w:color="auto"/>
              <w:right w:val="single" w:sz="4" w:space="0" w:color="auto"/>
            </w:tcBorders>
            <w:shd w:val="clear" w:color="auto" w:fill="auto"/>
            <w:hideMark/>
          </w:tcPr>
          <w:p w14:paraId="562F2A4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22A32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45F2B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0364D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3F90A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Seek opportunities for guest blogging, interviews, podcast appearances, and speaking engagements to share your project's story and vision with wider audiences through trusted channels.</w:t>
            </w:r>
          </w:p>
        </w:tc>
        <w:tc>
          <w:tcPr>
            <w:tcW w:w="2566" w:type="dxa"/>
            <w:tcBorders>
              <w:top w:val="nil"/>
              <w:left w:val="nil"/>
              <w:bottom w:val="single" w:sz="4" w:space="0" w:color="auto"/>
              <w:right w:val="single" w:sz="4" w:space="0" w:color="auto"/>
            </w:tcBorders>
            <w:shd w:val="clear" w:color="auto" w:fill="auto"/>
            <w:hideMark/>
          </w:tcPr>
          <w:p w14:paraId="1C9C16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5A202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ADA580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70C3B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Create Compelling Visual Content:</w:t>
            </w:r>
          </w:p>
        </w:tc>
        <w:tc>
          <w:tcPr>
            <w:tcW w:w="6762" w:type="dxa"/>
            <w:tcBorders>
              <w:top w:val="nil"/>
              <w:left w:val="nil"/>
              <w:bottom w:val="single" w:sz="4" w:space="0" w:color="auto"/>
              <w:right w:val="single" w:sz="4" w:space="0" w:color="auto"/>
            </w:tcBorders>
            <w:shd w:val="clear" w:color="auto" w:fill="auto"/>
            <w:hideMark/>
          </w:tcPr>
          <w:p w14:paraId="6211FB6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6E6A5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E2033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191773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96CE5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76F89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Produce high-quality visual content, including videos, infographics, animations, and graphics, to effectively communicate your project's message and value proposition. Visual content is more engaging and shareable, helping to capture attention and drive interest in your crowdfunding campaign.</w:t>
            </w:r>
          </w:p>
        </w:tc>
        <w:tc>
          <w:tcPr>
            <w:tcW w:w="2566" w:type="dxa"/>
            <w:tcBorders>
              <w:top w:val="nil"/>
              <w:left w:val="nil"/>
              <w:bottom w:val="single" w:sz="4" w:space="0" w:color="auto"/>
              <w:right w:val="single" w:sz="4" w:space="0" w:color="auto"/>
            </w:tcBorders>
            <w:shd w:val="clear" w:color="auto" w:fill="auto"/>
            <w:hideMark/>
          </w:tcPr>
          <w:p w14:paraId="472C4F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85FFE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EA205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C3C6D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9AFADA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Showcase real-world examples, testimonials, project milestones, and behind-the-scenes footage to humanize your campaign and connect with backers on an emotional level.</w:t>
            </w:r>
          </w:p>
        </w:tc>
        <w:tc>
          <w:tcPr>
            <w:tcW w:w="2566" w:type="dxa"/>
            <w:tcBorders>
              <w:top w:val="nil"/>
              <w:left w:val="nil"/>
              <w:bottom w:val="single" w:sz="4" w:space="0" w:color="auto"/>
              <w:right w:val="single" w:sz="4" w:space="0" w:color="auto"/>
            </w:tcBorders>
            <w:shd w:val="clear" w:color="auto" w:fill="auto"/>
            <w:hideMark/>
          </w:tcPr>
          <w:p w14:paraId="23A686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202CB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DB84CB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62E61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Foster Community Engagement:</w:t>
            </w:r>
          </w:p>
        </w:tc>
        <w:tc>
          <w:tcPr>
            <w:tcW w:w="6762" w:type="dxa"/>
            <w:tcBorders>
              <w:top w:val="nil"/>
              <w:left w:val="nil"/>
              <w:bottom w:val="single" w:sz="4" w:space="0" w:color="auto"/>
              <w:right w:val="single" w:sz="4" w:space="0" w:color="auto"/>
            </w:tcBorders>
            <w:shd w:val="clear" w:color="auto" w:fill="auto"/>
            <w:hideMark/>
          </w:tcPr>
          <w:p w14:paraId="6722A8C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7B17D4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05B5A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05F4D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30FBD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3A3A5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Build and nurture a community around your crowdfunding campaign, engaging backers, supporters, and stakeholders through active participation, feedback, and interaction. Foster a sense of belonging and ownership, encouraging backers to become advocates and ambassadors for your project.</w:t>
            </w:r>
          </w:p>
        </w:tc>
        <w:tc>
          <w:tcPr>
            <w:tcW w:w="2566" w:type="dxa"/>
            <w:tcBorders>
              <w:top w:val="nil"/>
              <w:left w:val="nil"/>
              <w:bottom w:val="single" w:sz="4" w:space="0" w:color="auto"/>
              <w:right w:val="single" w:sz="4" w:space="0" w:color="auto"/>
            </w:tcBorders>
            <w:shd w:val="clear" w:color="auto" w:fill="auto"/>
            <w:hideMark/>
          </w:tcPr>
          <w:p w14:paraId="79DD6F5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9292E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91769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39B09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38BE0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Organize live Q&amp;A sessions, webinars, virtual events, and AMA (Ask Me Anything) sessions to engage with your audience, address their questions and concerns, and build trust and rapport.</w:t>
            </w:r>
          </w:p>
        </w:tc>
        <w:tc>
          <w:tcPr>
            <w:tcW w:w="2566" w:type="dxa"/>
            <w:tcBorders>
              <w:top w:val="nil"/>
              <w:left w:val="nil"/>
              <w:bottom w:val="single" w:sz="4" w:space="0" w:color="auto"/>
              <w:right w:val="single" w:sz="4" w:space="0" w:color="auto"/>
            </w:tcBorders>
            <w:shd w:val="clear" w:color="auto" w:fill="auto"/>
            <w:hideMark/>
          </w:tcPr>
          <w:p w14:paraId="5DDE70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AC9E8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71B2C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84DA8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7. Track and Measure Results:</w:t>
            </w:r>
          </w:p>
        </w:tc>
        <w:tc>
          <w:tcPr>
            <w:tcW w:w="6762" w:type="dxa"/>
            <w:tcBorders>
              <w:top w:val="nil"/>
              <w:left w:val="nil"/>
              <w:bottom w:val="single" w:sz="4" w:space="0" w:color="auto"/>
              <w:right w:val="single" w:sz="4" w:space="0" w:color="auto"/>
            </w:tcBorders>
            <w:shd w:val="clear" w:color="auto" w:fill="auto"/>
            <w:hideMark/>
          </w:tcPr>
          <w:p w14:paraId="1BC0EB2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309025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E3238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84A54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9384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45468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tracking and analytics tools to monitor the performance of your marketing efforts and measure key metrics such as website traffic, social media engagement, email open rates, conversion rates, and campaign reach.</w:t>
            </w:r>
          </w:p>
        </w:tc>
        <w:tc>
          <w:tcPr>
            <w:tcW w:w="2566" w:type="dxa"/>
            <w:tcBorders>
              <w:top w:val="nil"/>
              <w:left w:val="nil"/>
              <w:bottom w:val="single" w:sz="4" w:space="0" w:color="auto"/>
              <w:right w:val="single" w:sz="4" w:space="0" w:color="auto"/>
            </w:tcBorders>
            <w:shd w:val="clear" w:color="auto" w:fill="auto"/>
            <w:hideMark/>
          </w:tcPr>
          <w:p w14:paraId="30AF29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57F8A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6D75A5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B0D8E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7ECD7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data-driven insights to iterate and optimize your marketing strategy in real-time, identifying what tactics are most effective in driving awareness, engagement, and conversion for your crowdfunding campaign.</w:t>
            </w:r>
          </w:p>
        </w:tc>
        <w:tc>
          <w:tcPr>
            <w:tcW w:w="2566" w:type="dxa"/>
            <w:tcBorders>
              <w:top w:val="nil"/>
              <w:left w:val="nil"/>
              <w:bottom w:val="single" w:sz="4" w:space="0" w:color="auto"/>
              <w:right w:val="single" w:sz="4" w:space="0" w:color="auto"/>
            </w:tcBorders>
            <w:shd w:val="clear" w:color="auto" w:fill="auto"/>
            <w:hideMark/>
          </w:tcPr>
          <w:p w14:paraId="689D58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BDC5F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4EB82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F5770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38E39BA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ED685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A76CB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496138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C44C0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A650B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a comprehensive marketing strategy that prioritizes audience segmentation, compelling messaging, multi-channel outreach, influencer collaboration, visual storytelling, community engagement, and performance tracking, you can effectively promote your crowdfunding campaign for PrimeBookOne and Antikytherian PrimeBookTools and maximize its impact and success potential.</w:t>
            </w:r>
          </w:p>
        </w:tc>
        <w:tc>
          <w:tcPr>
            <w:tcW w:w="2566" w:type="dxa"/>
            <w:tcBorders>
              <w:top w:val="nil"/>
              <w:left w:val="nil"/>
              <w:bottom w:val="single" w:sz="4" w:space="0" w:color="auto"/>
              <w:right w:val="single" w:sz="4" w:space="0" w:color="auto"/>
            </w:tcBorders>
            <w:shd w:val="clear" w:color="auto" w:fill="auto"/>
            <w:hideMark/>
          </w:tcPr>
          <w:p w14:paraId="517417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FB041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B0225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76151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1325C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E9E60F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D49C21" w14:textId="77777777" w:rsidTr="0041317E">
        <w:trPr>
          <w:trHeight w:val="4896"/>
        </w:trPr>
        <w:tc>
          <w:tcPr>
            <w:tcW w:w="1349" w:type="dxa"/>
            <w:tcBorders>
              <w:top w:val="nil"/>
              <w:left w:val="single" w:sz="4" w:space="0" w:color="auto"/>
              <w:bottom w:val="single" w:sz="4" w:space="0" w:color="auto"/>
              <w:right w:val="single" w:sz="4" w:space="0" w:color="auto"/>
            </w:tcBorders>
            <w:shd w:val="clear" w:color="auto" w:fill="auto"/>
            <w:hideMark/>
          </w:tcPr>
          <w:p w14:paraId="64D8420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576969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Pre-launch Promotion: </w:t>
            </w:r>
          </w:p>
        </w:tc>
        <w:tc>
          <w:tcPr>
            <w:tcW w:w="6762" w:type="dxa"/>
            <w:tcBorders>
              <w:top w:val="nil"/>
              <w:left w:val="nil"/>
              <w:bottom w:val="single" w:sz="4" w:space="0" w:color="auto"/>
              <w:right w:val="single" w:sz="4" w:space="0" w:color="auto"/>
            </w:tcBorders>
            <w:shd w:val="clear" w:color="auto" w:fill="auto"/>
            <w:hideMark/>
          </w:tcPr>
          <w:p w14:paraId="0205CE4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Build anticipation and excitement for the campaign through teaser announcements, social media teasers, and email newsletters. Engage with potential backers and influencers in the target audience to generate buzz and anticipation.</w:t>
            </w:r>
          </w:p>
        </w:tc>
        <w:tc>
          <w:tcPr>
            <w:tcW w:w="2566" w:type="dxa"/>
            <w:tcBorders>
              <w:top w:val="nil"/>
              <w:left w:val="nil"/>
              <w:bottom w:val="single" w:sz="4" w:space="0" w:color="auto"/>
              <w:right w:val="single" w:sz="4" w:space="0" w:color="auto"/>
            </w:tcBorders>
            <w:shd w:val="clear" w:color="auto" w:fill="auto"/>
            <w:hideMark/>
          </w:tcPr>
          <w:p w14:paraId="33C6771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Using Fiverr as a resource for quick turn-key solutions.  The complexity to get the media hype beyond respectfully needed for a data base of unique stringed indivisible numbers that go on forever.  Building on and demonstrating the importance of primes with honest relaxed informative educational "edu-verts" mentally relaxing advertising spots. A soft purr as apposed to a buzz, a want to pet rather than swipe feeling.</w:t>
            </w:r>
          </w:p>
        </w:tc>
      </w:tr>
      <w:tr w:rsidR="0041317E" w:rsidRPr="0041317E" w14:paraId="38BD12C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A7693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12E1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5AD97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Creating anticipation and excitement for your crowdfunding campaign through pre-launch promotion is crucial for building momentum and attracting early backers. Let's explore in detail how you can effectively execute pre-launch promotion, incorporating your addition:</w:t>
            </w:r>
          </w:p>
        </w:tc>
        <w:tc>
          <w:tcPr>
            <w:tcW w:w="2566" w:type="dxa"/>
            <w:tcBorders>
              <w:top w:val="nil"/>
              <w:left w:val="nil"/>
              <w:bottom w:val="single" w:sz="4" w:space="0" w:color="auto"/>
              <w:right w:val="single" w:sz="4" w:space="0" w:color="auto"/>
            </w:tcBorders>
            <w:shd w:val="clear" w:color="auto" w:fill="auto"/>
            <w:hideMark/>
          </w:tcPr>
          <w:p w14:paraId="4D545E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55711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886534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35B5B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Teaser Announcements:</w:t>
            </w:r>
          </w:p>
        </w:tc>
        <w:tc>
          <w:tcPr>
            <w:tcW w:w="6762" w:type="dxa"/>
            <w:tcBorders>
              <w:top w:val="nil"/>
              <w:left w:val="nil"/>
              <w:bottom w:val="single" w:sz="4" w:space="0" w:color="auto"/>
              <w:right w:val="single" w:sz="4" w:space="0" w:color="auto"/>
            </w:tcBorders>
            <w:shd w:val="clear" w:color="auto" w:fill="auto"/>
            <w:hideMark/>
          </w:tcPr>
          <w:p w14:paraId="7B890F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12B92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9A434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1DF94F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62578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C52F7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Craft teaser announcements or cryptic messages that hint at the upcoming crowdfunding campaign without revealing too much. These teasers should pique curiosity and create anticipation among your target audience.</w:t>
            </w:r>
          </w:p>
        </w:tc>
        <w:tc>
          <w:tcPr>
            <w:tcW w:w="2566" w:type="dxa"/>
            <w:tcBorders>
              <w:top w:val="nil"/>
              <w:left w:val="nil"/>
              <w:bottom w:val="single" w:sz="4" w:space="0" w:color="auto"/>
              <w:right w:val="single" w:sz="4" w:space="0" w:color="auto"/>
            </w:tcBorders>
            <w:shd w:val="clear" w:color="auto" w:fill="auto"/>
            <w:hideMark/>
          </w:tcPr>
          <w:p w14:paraId="43BB9D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97E09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C142AA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B508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802F48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various platforms such as social media channels (Facebook, Twitter, Instagram), your website, and email newsletters to share these teaser announcements. Consider using visually engaging graphics or short videos to make your teasers more compelling.</w:t>
            </w:r>
          </w:p>
        </w:tc>
        <w:tc>
          <w:tcPr>
            <w:tcW w:w="2566" w:type="dxa"/>
            <w:tcBorders>
              <w:top w:val="nil"/>
              <w:left w:val="nil"/>
              <w:bottom w:val="single" w:sz="4" w:space="0" w:color="auto"/>
              <w:right w:val="single" w:sz="4" w:space="0" w:color="auto"/>
            </w:tcBorders>
            <w:shd w:val="clear" w:color="auto" w:fill="auto"/>
            <w:hideMark/>
          </w:tcPr>
          <w:p w14:paraId="546C9B8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2C499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E8ECF9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BE1D6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Social Media Teasers:</w:t>
            </w:r>
          </w:p>
        </w:tc>
        <w:tc>
          <w:tcPr>
            <w:tcW w:w="6762" w:type="dxa"/>
            <w:tcBorders>
              <w:top w:val="nil"/>
              <w:left w:val="nil"/>
              <w:bottom w:val="single" w:sz="4" w:space="0" w:color="auto"/>
              <w:right w:val="single" w:sz="4" w:space="0" w:color="auto"/>
            </w:tcBorders>
            <w:shd w:val="clear" w:color="auto" w:fill="auto"/>
            <w:hideMark/>
          </w:tcPr>
          <w:p w14:paraId="737A106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CD4AE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7C361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C114A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58870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41051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social media platforms to share sneak peeks, behind-the-scenes glimpses, or teaser content related to your project. Create engaging posts, stories, or reels that offer intriguing glimpses into the goals, objectives, and impact of your project.</w:t>
            </w:r>
          </w:p>
        </w:tc>
        <w:tc>
          <w:tcPr>
            <w:tcW w:w="2566" w:type="dxa"/>
            <w:tcBorders>
              <w:top w:val="nil"/>
              <w:left w:val="nil"/>
              <w:bottom w:val="single" w:sz="4" w:space="0" w:color="auto"/>
              <w:right w:val="single" w:sz="4" w:space="0" w:color="auto"/>
            </w:tcBorders>
            <w:shd w:val="clear" w:color="auto" w:fill="auto"/>
            <w:hideMark/>
          </w:tcPr>
          <w:p w14:paraId="2A6D0C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DBDF3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C32E7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F50FC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6A21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audience interaction by asking questions, running polls, or hosting countdowns to generate buzz and engagement leading up to the campaign launch.</w:t>
            </w:r>
          </w:p>
        </w:tc>
        <w:tc>
          <w:tcPr>
            <w:tcW w:w="2566" w:type="dxa"/>
            <w:tcBorders>
              <w:top w:val="nil"/>
              <w:left w:val="nil"/>
              <w:bottom w:val="single" w:sz="4" w:space="0" w:color="auto"/>
              <w:right w:val="single" w:sz="4" w:space="0" w:color="auto"/>
            </w:tcBorders>
            <w:shd w:val="clear" w:color="auto" w:fill="auto"/>
            <w:hideMark/>
          </w:tcPr>
          <w:p w14:paraId="6585A3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C157E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80F57E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AB728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Email Newsletters:</w:t>
            </w:r>
          </w:p>
        </w:tc>
        <w:tc>
          <w:tcPr>
            <w:tcW w:w="6762" w:type="dxa"/>
            <w:tcBorders>
              <w:top w:val="nil"/>
              <w:left w:val="nil"/>
              <w:bottom w:val="single" w:sz="4" w:space="0" w:color="auto"/>
              <w:right w:val="single" w:sz="4" w:space="0" w:color="auto"/>
            </w:tcBorders>
            <w:shd w:val="clear" w:color="auto" w:fill="auto"/>
            <w:hideMark/>
          </w:tcPr>
          <w:p w14:paraId="4F56C2A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7626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B114A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55502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4104A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5BB2F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Build an email list of potential backers, supporters, and interested individuals who have expressed interest in your project or signed up for updates.</w:t>
            </w:r>
          </w:p>
        </w:tc>
        <w:tc>
          <w:tcPr>
            <w:tcW w:w="2566" w:type="dxa"/>
            <w:tcBorders>
              <w:top w:val="nil"/>
              <w:left w:val="nil"/>
              <w:bottom w:val="single" w:sz="4" w:space="0" w:color="auto"/>
              <w:right w:val="single" w:sz="4" w:space="0" w:color="auto"/>
            </w:tcBorders>
            <w:shd w:val="clear" w:color="auto" w:fill="auto"/>
            <w:hideMark/>
          </w:tcPr>
          <w:p w14:paraId="5EED67B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92E3D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872FC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5FCB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062F1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Send out regular email newsletters leading up to the campaign launch, sharing exclusive content, project updates, and insider information to keep subscribers engaged and informed about the upcoming crowdfunding opportunity.</w:t>
            </w:r>
          </w:p>
        </w:tc>
        <w:tc>
          <w:tcPr>
            <w:tcW w:w="2566" w:type="dxa"/>
            <w:tcBorders>
              <w:top w:val="nil"/>
              <w:left w:val="nil"/>
              <w:bottom w:val="single" w:sz="4" w:space="0" w:color="auto"/>
              <w:right w:val="single" w:sz="4" w:space="0" w:color="auto"/>
            </w:tcBorders>
            <w:shd w:val="clear" w:color="auto" w:fill="auto"/>
            <w:hideMark/>
          </w:tcPr>
          <w:p w14:paraId="34489B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A0B56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E3C46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58B72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Engagement with Potential Backers and Influencers:</w:t>
            </w:r>
          </w:p>
        </w:tc>
        <w:tc>
          <w:tcPr>
            <w:tcW w:w="6762" w:type="dxa"/>
            <w:tcBorders>
              <w:top w:val="nil"/>
              <w:left w:val="nil"/>
              <w:bottom w:val="single" w:sz="4" w:space="0" w:color="auto"/>
              <w:right w:val="single" w:sz="4" w:space="0" w:color="auto"/>
            </w:tcBorders>
            <w:shd w:val="clear" w:color="auto" w:fill="auto"/>
            <w:hideMark/>
          </w:tcPr>
          <w:p w14:paraId="0B77C11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C3677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993CB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05BBD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7A3C7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E6E86F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Engage with potential backers and influencers in your target audience through direct outreach, social media interactions, or collaborations.</w:t>
            </w:r>
          </w:p>
        </w:tc>
        <w:tc>
          <w:tcPr>
            <w:tcW w:w="2566" w:type="dxa"/>
            <w:tcBorders>
              <w:top w:val="nil"/>
              <w:left w:val="nil"/>
              <w:bottom w:val="single" w:sz="4" w:space="0" w:color="auto"/>
              <w:right w:val="single" w:sz="4" w:space="0" w:color="auto"/>
            </w:tcBorders>
            <w:shd w:val="clear" w:color="auto" w:fill="auto"/>
            <w:hideMark/>
          </w:tcPr>
          <w:p w14:paraId="213D3E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1D7DA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2BA63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7733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10FAF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Build relationships with influencers, bloggers, journalists, and industry experts who can help amplify your message and reach a wider audience. Consider offering them exclusive access or sneak peeks in exchange for their support in promoting your campaign.</w:t>
            </w:r>
          </w:p>
        </w:tc>
        <w:tc>
          <w:tcPr>
            <w:tcW w:w="2566" w:type="dxa"/>
            <w:tcBorders>
              <w:top w:val="nil"/>
              <w:left w:val="nil"/>
              <w:bottom w:val="single" w:sz="4" w:space="0" w:color="auto"/>
              <w:right w:val="single" w:sz="4" w:space="0" w:color="auto"/>
            </w:tcBorders>
            <w:shd w:val="clear" w:color="auto" w:fill="auto"/>
            <w:hideMark/>
          </w:tcPr>
          <w:p w14:paraId="7979DCE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26D50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D69B4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4612B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Utilizing Fiverr and Quick Turn-Key Solutions:</w:t>
            </w:r>
          </w:p>
        </w:tc>
        <w:tc>
          <w:tcPr>
            <w:tcW w:w="6762" w:type="dxa"/>
            <w:tcBorders>
              <w:top w:val="nil"/>
              <w:left w:val="nil"/>
              <w:bottom w:val="single" w:sz="4" w:space="0" w:color="auto"/>
              <w:right w:val="single" w:sz="4" w:space="0" w:color="auto"/>
            </w:tcBorders>
            <w:shd w:val="clear" w:color="auto" w:fill="auto"/>
            <w:hideMark/>
          </w:tcPr>
          <w:p w14:paraId="5A49C31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ACE08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9720F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5C66E2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7D233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BBD1C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platforms like Fiverr to access quick turn-key solutions for various aspects of pre-launch promotion, such as graphic design, video editing, copywriting, or social media management.</w:t>
            </w:r>
          </w:p>
        </w:tc>
        <w:tc>
          <w:tcPr>
            <w:tcW w:w="2566" w:type="dxa"/>
            <w:tcBorders>
              <w:top w:val="nil"/>
              <w:left w:val="nil"/>
              <w:bottom w:val="single" w:sz="4" w:space="0" w:color="auto"/>
              <w:right w:val="single" w:sz="4" w:space="0" w:color="auto"/>
            </w:tcBorders>
            <w:shd w:val="clear" w:color="auto" w:fill="auto"/>
            <w:hideMark/>
          </w:tcPr>
          <w:p w14:paraId="776BF4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77D94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7D958F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36A10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CD0E5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Hire freelancers or experts on Fiverr to create teaser graphics, promotional videos, social media content, or email templates that align with your campaign's messaging and branding.</w:t>
            </w:r>
          </w:p>
        </w:tc>
        <w:tc>
          <w:tcPr>
            <w:tcW w:w="2566" w:type="dxa"/>
            <w:tcBorders>
              <w:top w:val="nil"/>
              <w:left w:val="nil"/>
              <w:bottom w:val="single" w:sz="4" w:space="0" w:color="auto"/>
              <w:right w:val="single" w:sz="4" w:space="0" w:color="auto"/>
            </w:tcBorders>
            <w:shd w:val="clear" w:color="auto" w:fill="auto"/>
            <w:hideMark/>
          </w:tcPr>
          <w:p w14:paraId="3FAD11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B9651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9D8AB3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2DAFE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Demonstrating the Importance of Primes:</w:t>
            </w:r>
          </w:p>
        </w:tc>
        <w:tc>
          <w:tcPr>
            <w:tcW w:w="6762" w:type="dxa"/>
            <w:tcBorders>
              <w:top w:val="nil"/>
              <w:left w:val="nil"/>
              <w:bottom w:val="single" w:sz="4" w:space="0" w:color="auto"/>
              <w:right w:val="single" w:sz="4" w:space="0" w:color="auto"/>
            </w:tcBorders>
            <w:shd w:val="clear" w:color="auto" w:fill="auto"/>
            <w:hideMark/>
          </w:tcPr>
          <w:p w14:paraId="0BC216F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FF811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54680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568E63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54E6A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20AB1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Educate your audience about the significance and importance of prime numbers through informative and engaging content. Develop educational "edu-verts" (educational advertisements) that highlight the practical applications, scientific relevance, and real-world impact of prime number theory.</w:t>
            </w:r>
          </w:p>
        </w:tc>
        <w:tc>
          <w:tcPr>
            <w:tcW w:w="2566" w:type="dxa"/>
            <w:tcBorders>
              <w:top w:val="nil"/>
              <w:left w:val="nil"/>
              <w:bottom w:val="single" w:sz="4" w:space="0" w:color="auto"/>
              <w:right w:val="single" w:sz="4" w:space="0" w:color="auto"/>
            </w:tcBorders>
            <w:shd w:val="clear" w:color="auto" w:fill="auto"/>
            <w:hideMark/>
          </w:tcPr>
          <w:p w14:paraId="1850944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91B7A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F282D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567C9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F646E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a relaxed and informative tone in your messaging, focusing on mental relaxation and intellectual stimulation rather than creating a sense of urgency or pressure.</w:t>
            </w:r>
          </w:p>
        </w:tc>
        <w:tc>
          <w:tcPr>
            <w:tcW w:w="2566" w:type="dxa"/>
            <w:tcBorders>
              <w:top w:val="nil"/>
              <w:left w:val="nil"/>
              <w:bottom w:val="single" w:sz="4" w:space="0" w:color="auto"/>
              <w:right w:val="single" w:sz="4" w:space="0" w:color="auto"/>
            </w:tcBorders>
            <w:shd w:val="clear" w:color="auto" w:fill="auto"/>
            <w:hideMark/>
          </w:tcPr>
          <w:p w14:paraId="7E0BFA6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6CD4F7"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6D4050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63B4B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Strategy</w:t>
            </w:r>
          </w:p>
        </w:tc>
        <w:tc>
          <w:tcPr>
            <w:tcW w:w="6762" w:type="dxa"/>
            <w:tcBorders>
              <w:top w:val="nil"/>
              <w:left w:val="nil"/>
              <w:bottom w:val="single" w:sz="4" w:space="0" w:color="auto"/>
              <w:right w:val="single" w:sz="4" w:space="0" w:color="auto"/>
            </w:tcBorders>
            <w:shd w:val="clear" w:color="auto" w:fill="auto"/>
            <w:hideMark/>
          </w:tcPr>
          <w:p w14:paraId="2719CA5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strategically implementing pre-launch promotion tactics such as teaser announcements, social media teasers, email newsletters, engagement with potential backers and influencers, and utilizing platforms like Fiverr for quick turn-key solutions, you can effectively build anticipation and excitement for your crowdfunding campaign for PrimeBookOne and Antikytherian PrimeBookTools. This approach will help generate buzz, attract early backers, and set the stage for a successful campaign launch.</w:t>
            </w:r>
          </w:p>
        </w:tc>
        <w:tc>
          <w:tcPr>
            <w:tcW w:w="2566" w:type="dxa"/>
            <w:tcBorders>
              <w:top w:val="nil"/>
              <w:left w:val="nil"/>
              <w:bottom w:val="single" w:sz="4" w:space="0" w:color="auto"/>
              <w:right w:val="single" w:sz="4" w:space="0" w:color="auto"/>
            </w:tcBorders>
            <w:shd w:val="clear" w:color="auto" w:fill="auto"/>
            <w:hideMark/>
          </w:tcPr>
          <w:p w14:paraId="23746C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E6008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E32EAA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6040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867F4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FCD9B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8ECE7D" w14:textId="77777777" w:rsidTr="0041317E">
        <w:trPr>
          <w:trHeight w:val="2880"/>
        </w:trPr>
        <w:tc>
          <w:tcPr>
            <w:tcW w:w="1349" w:type="dxa"/>
            <w:tcBorders>
              <w:top w:val="nil"/>
              <w:left w:val="single" w:sz="4" w:space="0" w:color="auto"/>
              <w:bottom w:val="single" w:sz="4" w:space="0" w:color="auto"/>
              <w:right w:val="single" w:sz="4" w:space="0" w:color="auto"/>
            </w:tcBorders>
            <w:shd w:val="clear" w:color="auto" w:fill="auto"/>
            <w:hideMark/>
          </w:tcPr>
          <w:p w14:paraId="4BAFA0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2BBA82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Campaign Launch: </w:t>
            </w:r>
          </w:p>
        </w:tc>
        <w:tc>
          <w:tcPr>
            <w:tcW w:w="6762" w:type="dxa"/>
            <w:tcBorders>
              <w:top w:val="nil"/>
              <w:left w:val="nil"/>
              <w:bottom w:val="single" w:sz="4" w:space="0" w:color="auto"/>
              <w:right w:val="single" w:sz="4" w:space="0" w:color="auto"/>
            </w:tcBorders>
            <w:shd w:val="clear" w:color="auto" w:fill="auto"/>
            <w:hideMark/>
          </w:tcPr>
          <w:p w14:paraId="2D21781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a compelling campaign page with engaging visuals, clear messaging, and a compelling story that communicates the project's value proposition and impact. Leverage multimedia content such as videos, infographics, and testimonials to capture attention and inspire action.</w:t>
            </w:r>
          </w:p>
        </w:tc>
        <w:tc>
          <w:tcPr>
            <w:tcW w:w="2566" w:type="dxa"/>
            <w:tcBorders>
              <w:top w:val="nil"/>
              <w:left w:val="nil"/>
              <w:bottom w:val="single" w:sz="4" w:space="0" w:color="auto"/>
              <w:right w:val="single" w:sz="4" w:space="0" w:color="auto"/>
            </w:tcBorders>
            <w:shd w:val="clear" w:color="auto" w:fill="auto"/>
            <w:hideMark/>
          </w:tcPr>
          <w:p w14:paraId="78086E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Building a framework within adobe animate for the immersive sites.  What's a Prime Got To Do With Me? Question and Answers.  How humanity can deepen it's computing eficiency and compression size by continuing the quest to find prime.</w:t>
            </w:r>
          </w:p>
        </w:tc>
      </w:tr>
      <w:tr w:rsidR="0041317E" w:rsidRPr="0041317E" w14:paraId="29FCE6A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F9477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BAB2C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69B8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Launching your crowdfunding campaign is a critical step in engaging potential backers and inspiring them to support your project. Let's delve into the details of how you can execute the campaign launch effectively, incorporating your addition:</w:t>
            </w:r>
          </w:p>
        </w:tc>
        <w:tc>
          <w:tcPr>
            <w:tcW w:w="2566" w:type="dxa"/>
            <w:tcBorders>
              <w:top w:val="nil"/>
              <w:left w:val="nil"/>
              <w:bottom w:val="single" w:sz="4" w:space="0" w:color="auto"/>
              <w:right w:val="single" w:sz="4" w:space="0" w:color="auto"/>
            </w:tcBorders>
            <w:shd w:val="clear" w:color="auto" w:fill="auto"/>
            <w:hideMark/>
          </w:tcPr>
          <w:p w14:paraId="18C71EF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3376A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29F34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66DDB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Compelling Campaign Page:</w:t>
            </w:r>
          </w:p>
        </w:tc>
        <w:tc>
          <w:tcPr>
            <w:tcW w:w="6762" w:type="dxa"/>
            <w:tcBorders>
              <w:top w:val="nil"/>
              <w:left w:val="nil"/>
              <w:bottom w:val="single" w:sz="4" w:space="0" w:color="auto"/>
              <w:right w:val="single" w:sz="4" w:space="0" w:color="auto"/>
            </w:tcBorders>
            <w:shd w:val="clear" w:color="auto" w:fill="auto"/>
            <w:hideMark/>
          </w:tcPr>
          <w:p w14:paraId="6F55413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B31B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F2D7A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F5B235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673EB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DE776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 a visually appealing and user-friendly campaign page that serves as the central hub for your crowdfunding efforts. Use platforms like Kickstarter, Indiegogo, or your own website to host your campaign.</w:t>
            </w:r>
          </w:p>
        </w:tc>
        <w:tc>
          <w:tcPr>
            <w:tcW w:w="2566" w:type="dxa"/>
            <w:tcBorders>
              <w:top w:val="nil"/>
              <w:left w:val="nil"/>
              <w:bottom w:val="single" w:sz="4" w:space="0" w:color="auto"/>
              <w:right w:val="single" w:sz="4" w:space="0" w:color="auto"/>
            </w:tcBorders>
            <w:shd w:val="clear" w:color="auto" w:fill="auto"/>
            <w:hideMark/>
          </w:tcPr>
          <w:p w14:paraId="3E96B0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FA5D9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04788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3DC31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371005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Incorporate engaging visuals, including high-quality images, graphics, and videos, to capture attention and convey the essence of your project. Visual elements should be consistent with your branding and messaging.</w:t>
            </w:r>
          </w:p>
        </w:tc>
        <w:tc>
          <w:tcPr>
            <w:tcW w:w="2566" w:type="dxa"/>
            <w:tcBorders>
              <w:top w:val="nil"/>
              <w:left w:val="nil"/>
              <w:bottom w:val="single" w:sz="4" w:space="0" w:color="auto"/>
              <w:right w:val="single" w:sz="4" w:space="0" w:color="auto"/>
            </w:tcBorders>
            <w:shd w:val="clear" w:color="auto" w:fill="auto"/>
            <w:hideMark/>
          </w:tcPr>
          <w:p w14:paraId="61263C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75470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9E4C8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EA4A1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28AF7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Craft clear and concise messaging that communicates the value proposition and impact of your project. Clearly articulate what sets your project apart, why it matters, and how backers' contributions will make a difference.</w:t>
            </w:r>
          </w:p>
        </w:tc>
        <w:tc>
          <w:tcPr>
            <w:tcW w:w="2566" w:type="dxa"/>
            <w:tcBorders>
              <w:top w:val="nil"/>
              <w:left w:val="nil"/>
              <w:bottom w:val="single" w:sz="4" w:space="0" w:color="auto"/>
              <w:right w:val="single" w:sz="4" w:space="0" w:color="auto"/>
            </w:tcBorders>
            <w:shd w:val="clear" w:color="auto" w:fill="auto"/>
            <w:hideMark/>
          </w:tcPr>
          <w:p w14:paraId="36E140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7B5FE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0326B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5A86A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EB5E6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Tell a compelling story that resonates with your audience emotionally and intellectually. Share anecdotes, personal experiences, or case studies that illustrate the significance of prime numbers and the potential benefits of your project.</w:t>
            </w:r>
          </w:p>
        </w:tc>
        <w:tc>
          <w:tcPr>
            <w:tcW w:w="2566" w:type="dxa"/>
            <w:tcBorders>
              <w:top w:val="nil"/>
              <w:left w:val="nil"/>
              <w:bottom w:val="single" w:sz="4" w:space="0" w:color="auto"/>
              <w:right w:val="single" w:sz="4" w:space="0" w:color="auto"/>
            </w:tcBorders>
            <w:shd w:val="clear" w:color="auto" w:fill="auto"/>
            <w:hideMark/>
          </w:tcPr>
          <w:p w14:paraId="30905E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5752D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11B581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1055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9A0CF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multimedia content such as videos, infographics, animations, and testimonials to enhance engagement and convey complex concepts in an accessible format. Create a captivating campaign video that provides an overview of your project, introduces the team behind it, and highlights key features and benefits.</w:t>
            </w:r>
          </w:p>
        </w:tc>
        <w:tc>
          <w:tcPr>
            <w:tcW w:w="2566" w:type="dxa"/>
            <w:tcBorders>
              <w:top w:val="nil"/>
              <w:left w:val="nil"/>
              <w:bottom w:val="single" w:sz="4" w:space="0" w:color="auto"/>
              <w:right w:val="single" w:sz="4" w:space="0" w:color="auto"/>
            </w:tcBorders>
            <w:shd w:val="clear" w:color="auto" w:fill="auto"/>
            <w:hideMark/>
          </w:tcPr>
          <w:p w14:paraId="72F00E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04BF3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71238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FF459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Leveraging Adobe Animate for Immersive Sites:</w:t>
            </w:r>
          </w:p>
        </w:tc>
        <w:tc>
          <w:tcPr>
            <w:tcW w:w="6762" w:type="dxa"/>
            <w:tcBorders>
              <w:top w:val="nil"/>
              <w:left w:val="nil"/>
              <w:bottom w:val="single" w:sz="4" w:space="0" w:color="auto"/>
              <w:right w:val="single" w:sz="4" w:space="0" w:color="auto"/>
            </w:tcBorders>
            <w:shd w:val="clear" w:color="auto" w:fill="auto"/>
            <w:hideMark/>
          </w:tcPr>
          <w:p w14:paraId="2C1D8D5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C43A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6A0DB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C28EA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BA7B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18807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Adobe Animate to create interactive and immersive elements for your campaign page. Develop visually stunning animations, interactive graphics, or dynamic user interfaces that enhance the user experience and draw visitors into your project.</w:t>
            </w:r>
          </w:p>
        </w:tc>
        <w:tc>
          <w:tcPr>
            <w:tcW w:w="2566" w:type="dxa"/>
            <w:tcBorders>
              <w:top w:val="nil"/>
              <w:left w:val="nil"/>
              <w:bottom w:val="single" w:sz="4" w:space="0" w:color="auto"/>
              <w:right w:val="single" w:sz="4" w:space="0" w:color="auto"/>
            </w:tcBorders>
            <w:shd w:val="clear" w:color="auto" w:fill="auto"/>
            <w:hideMark/>
          </w:tcPr>
          <w:p w14:paraId="5805A3C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8301D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E9D3D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5352F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A1932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 custom animations or visual effects that illustrate concepts related to prime numbers, computational efficiency, and the potential impact of your project. Use animation to simplify complex ideas and make them more engaging and understandable for your audience.</w:t>
            </w:r>
          </w:p>
        </w:tc>
        <w:tc>
          <w:tcPr>
            <w:tcW w:w="2566" w:type="dxa"/>
            <w:tcBorders>
              <w:top w:val="nil"/>
              <w:left w:val="nil"/>
              <w:bottom w:val="single" w:sz="4" w:space="0" w:color="auto"/>
              <w:right w:val="single" w:sz="4" w:space="0" w:color="auto"/>
            </w:tcBorders>
            <w:shd w:val="clear" w:color="auto" w:fill="auto"/>
            <w:hideMark/>
          </w:tcPr>
          <w:p w14:paraId="45975A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A7F4D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EEAD5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0B5AA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8A22D7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compatibility and responsiveness across different devices and screen sizes. Optimize your Adobe Animate content for seamless integration with your campaign page and provide a seamless user experience for desktop and mobile users alike.</w:t>
            </w:r>
          </w:p>
        </w:tc>
        <w:tc>
          <w:tcPr>
            <w:tcW w:w="2566" w:type="dxa"/>
            <w:tcBorders>
              <w:top w:val="nil"/>
              <w:left w:val="nil"/>
              <w:bottom w:val="single" w:sz="4" w:space="0" w:color="auto"/>
              <w:right w:val="single" w:sz="4" w:space="0" w:color="auto"/>
            </w:tcBorders>
            <w:shd w:val="clear" w:color="auto" w:fill="auto"/>
            <w:hideMark/>
          </w:tcPr>
          <w:p w14:paraId="10B6CB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4E9EF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9688B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BAFFE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"What's a Prime Got To Do With Me?" Question and Answers:</w:t>
            </w:r>
          </w:p>
        </w:tc>
        <w:tc>
          <w:tcPr>
            <w:tcW w:w="6762" w:type="dxa"/>
            <w:tcBorders>
              <w:top w:val="nil"/>
              <w:left w:val="nil"/>
              <w:bottom w:val="single" w:sz="4" w:space="0" w:color="auto"/>
              <w:right w:val="single" w:sz="4" w:space="0" w:color="auto"/>
            </w:tcBorders>
            <w:shd w:val="clear" w:color="auto" w:fill="auto"/>
            <w:hideMark/>
          </w:tcPr>
          <w:p w14:paraId="32F889F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3D1163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B1111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E343E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46ACA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35B0BD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Address common questions, concerns, or misconceptions about prime numbers and your project in a dedicated FAQ section on your campaign page. Anticipate potential inquiries from backers and provide clear, informative answers to alleviate any doubts or uncertainties.</w:t>
            </w:r>
          </w:p>
        </w:tc>
        <w:tc>
          <w:tcPr>
            <w:tcW w:w="2566" w:type="dxa"/>
            <w:tcBorders>
              <w:top w:val="nil"/>
              <w:left w:val="nil"/>
              <w:bottom w:val="single" w:sz="4" w:space="0" w:color="auto"/>
              <w:right w:val="single" w:sz="4" w:space="0" w:color="auto"/>
            </w:tcBorders>
            <w:shd w:val="clear" w:color="auto" w:fill="auto"/>
            <w:hideMark/>
          </w:tcPr>
          <w:p w14:paraId="36E20A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2E822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BE9B4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C2BE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0AA26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simple language and straightforward explanations to demystify prime number theory and clarify the relevance of your project to backers' lives and interests. Highlight real-world applications, practical benefits, and potential outcomes of your research or initiative.</w:t>
            </w:r>
          </w:p>
        </w:tc>
        <w:tc>
          <w:tcPr>
            <w:tcW w:w="2566" w:type="dxa"/>
            <w:tcBorders>
              <w:top w:val="nil"/>
              <w:left w:val="nil"/>
              <w:bottom w:val="single" w:sz="4" w:space="0" w:color="auto"/>
              <w:right w:val="single" w:sz="4" w:space="0" w:color="auto"/>
            </w:tcBorders>
            <w:shd w:val="clear" w:color="auto" w:fill="auto"/>
            <w:hideMark/>
          </w:tcPr>
          <w:p w14:paraId="7C061A5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96971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04321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59B89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F0C348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Emphasize the value proposition of supporting your project, whether it's advancing scientific knowledge, contributing to technological innovation, or enhancing computational efficiency.</w:t>
            </w:r>
          </w:p>
        </w:tc>
        <w:tc>
          <w:tcPr>
            <w:tcW w:w="2566" w:type="dxa"/>
            <w:tcBorders>
              <w:top w:val="nil"/>
              <w:left w:val="nil"/>
              <w:bottom w:val="single" w:sz="4" w:space="0" w:color="auto"/>
              <w:right w:val="single" w:sz="4" w:space="0" w:color="auto"/>
            </w:tcBorders>
            <w:shd w:val="clear" w:color="auto" w:fill="auto"/>
            <w:hideMark/>
          </w:tcPr>
          <w:p w14:paraId="624802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896AA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F2F2C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C012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Launch</w:t>
            </w:r>
          </w:p>
        </w:tc>
        <w:tc>
          <w:tcPr>
            <w:tcW w:w="6762" w:type="dxa"/>
            <w:tcBorders>
              <w:top w:val="nil"/>
              <w:left w:val="nil"/>
              <w:bottom w:val="single" w:sz="4" w:space="0" w:color="auto"/>
              <w:right w:val="single" w:sz="4" w:space="0" w:color="auto"/>
            </w:tcBorders>
            <w:shd w:val="clear" w:color="auto" w:fill="auto"/>
            <w:hideMark/>
          </w:tcPr>
          <w:p w14:paraId="668BB38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873E0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50778A"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2CD27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7B4C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2A94A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Launching your crowdfunding campaign with a compelling campaign page featuring engaging visuals, clear messaging, multimedia content, and interactive elements will captivate your audience and motivate them to take action. By leveraging Adobe Animate for immersive site experiences and addressing key questions through a comprehensive FAQ section, you can enhance the effectiveness and impact of your campaign launch for PrimeBookOne and Antikytherian PrimeBookTools.</w:t>
            </w:r>
          </w:p>
        </w:tc>
        <w:tc>
          <w:tcPr>
            <w:tcW w:w="2566" w:type="dxa"/>
            <w:tcBorders>
              <w:top w:val="nil"/>
              <w:left w:val="nil"/>
              <w:bottom w:val="single" w:sz="4" w:space="0" w:color="auto"/>
              <w:right w:val="single" w:sz="4" w:space="0" w:color="auto"/>
            </w:tcBorders>
            <w:shd w:val="clear" w:color="auto" w:fill="auto"/>
            <w:hideMark/>
          </w:tcPr>
          <w:p w14:paraId="289619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D8696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706B8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E8CDD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2DCC5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05A6A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D075A6" w14:textId="77777777" w:rsidTr="0041317E">
        <w:trPr>
          <w:trHeight w:val="2592"/>
        </w:trPr>
        <w:tc>
          <w:tcPr>
            <w:tcW w:w="1349" w:type="dxa"/>
            <w:tcBorders>
              <w:top w:val="nil"/>
              <w:left w:val="single" w:sz="4" w:space="0" w:color="auto"/>
              <w:bottom w:val="single" w:sz="4" w:space="0" w:color="auto"/>
              <w:right w:val="single" w:sz="4" w:space="0" w:color="auto"/>
            </w:tcBorders>
            <w:shd w:val="clear" w:color="auto" w:fill="auto"/>
            <w:hideMark/>
          </w:tcPr>
          <w:p w14:paraId="755183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532E4D2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 Ongoing Promotion: </w:t>
            </w:r>
          </w:p>
        </w:tc>
        <w:tc>
          <w:tcPr>
            <w:tcW w:w="6762" w:type="dxa"/>
            <w:tcBorders>
              <w:top w:val="nil"/>
              <w:left w:val="nil"/>
              <w:bottom w:val="single" w:sz="4" w:space="0" w:color="auto"/>
              <w:right w:val="single" w:sz="4" w:space="0" w:color="auto"/>
            </w:tcBorders>
            <w:shd w:val="clear" w:color="auto" w:fill="auto"/>
            <w:hideMark/>
          </w:tcPr>
          <w:p w14:paraId="32524C4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Maintain momentum throughout the campaign by regularly updating backers on progress, sharing behind-the-scenes insights, and offering incentives for engagement, such as limited-time offers, stretch goals, or interactive challenges. Utilize social media, email marketing, press releases, and outreach to relevant communities and media outlets to amplify the campaign's reach.</w:t>
            </w:r>
          </w:p>
        </w:tc>
        <w:tc>
          <w:tcPr>
            <w:tcW w:w="2566" w:type="dxa"/>
            <w:tcBorders>
              <w:top w:val="nil"/>
              <w:left w:val="nil"/>
              <w:bottom w:val="single" w:sz="4" w:space="0" w:color="auto"/>
              <w:right w:val="single" w:sz="4" w:space="0" w:color="auto"/>
            </w:tcBorders>
            <w:shd w:val="clear" w:color="auto" w:fill="auto"/>
            <w:hideMark/>
          </w:tcPr>
          <w:p w14:paraId="1A45E0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Create a momemntum bungee of self-propelling information updates for investors or would be. Offer PrimeDayPrizes PrimeOutreach, PrimeCommunity PrimeMedia PrimeWorkers Make a Prime Difference</w:t>
            </w:r>
          </w:p>
        </w:tc>
      </w:tr>
      <w:tr w:rsidR="0041317E" w:rsidRPr="0041317E" w14:paraId="331803D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93E225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B856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DEB641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Maintaining momentum throughout your crowdfunding campaign is crucial for sustaining interest and attracting new backers. Let's explore in extreme detail how you can execute ongoing promotion to keep your campaign energized and engaging:</w:t>
            </w:r>
          </w:p>
        </w:tc>
        <w:tc>
          <w:tcPr>
            <w:tcW w:w="2566" w:type="dxa"/>
            <w:tcBorders>
              <w:top w:val="nil"/>
              <w:left w:val="nil"/>
              <w:bottom w:val="single" w:sz="4" w:space="0" w:color="auto"/>
              <w:right w:val="single" w:sz="4" w:space="0" w:color="auto"/>
            </w:tcBorders>
            <w:shd w:val="clear" w:color="auto" w:fill="auto"/>
            <w:hideMark/>
          </w:tcPr>
          <w:p w14:paraId="7A6C98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CBE6A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B5840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A2B57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Momentum Bungee of Self-Propelling Information Updates:</w:t>
            </w:r>
          </w:p>
        </w:tc>
        <w:tc>
          <w:tcPr>
            <w:tcW w:w="6762" w:type="dxa"/>
            <w:tcBorders>
              <w:top w:val="nil"/>
              <w:left w:val="nil"/>
              <w:bottom w:val="single" w:sz="4" w:space="0" w:color="auto"/>
              <w:right w:val="single" w:sz="4" w:space="0" w:color="auto"/>
            </w:tcBorders>
            <w:shd w:val="clear" w:color="auto" w:fill="auto"/>
            <w:hideMark/>
          </w:tcPr>
          <w:p w14:paraId="541996F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C237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2A75B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E5C9A1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9137A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B10074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structured schedule for delivering regular updates to backers, providing them with insights into project milestones, achievements, and challenges. Aim to send updates at least once a week to keep backers informed and engaged.</w:t>
            </w:r>
          </w:p>
        </w:tc>
        <w:tc>
          <w:tcPr>
            <w:tcW w:w="2566" w:type="dxa"/>
            <w:tcBorders>
              <w:top w:val="nil"/>
              <w:left w:val="nil"/>
              <w:bottom w:val="single" w:sz="4" w:space="0" w:color="auto"/>
              <w:right w:val="single" w:sz="4" w:space="0" w:color="auto"/>
            </w:tcBorders>
            <w:shd w:val="clear" w:color="auto" w:fill="auto"/>
            <w:hideMark/>
          </w:tcPr>
          <w:p w14:paraId="30F54A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B9468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0F396A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E7209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DB1DC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a variety of formats for updates, including text posts, images, videos, and infographics, to cater to different preferences and maximize engagement. Share progress reports, behind-the-scenes glimpses, team member spotlights, and testimonials from satisfied backers.</w:t>
            </w:r>
          </w:p>
        </w:tc>
        <w:tc>
          <w:tcPr>
            <w:tcW w:w="2566" w:type="dxa"/>
            <w:tcBorders>
              <w:top w:val="nil"/>
              <w:left w:val="nil"/>
              <w:bottom w:val="single" w:sz="4" w:space="0" w:color="auto"/>
              <w:right w:val="single" w:sz="4" w:space="0" w:color="auto"/>
            </w:tcBorders>
            <w:shd w:val="clear" w:color="auto" w:fill="auto"/>
            <w:hideMark/>
          </w:tcPr>
          <w:p w14:paraId="7D12F1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6FF37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0D42E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01C1E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977902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backers to share updates with their networks and amplify your campaign's reach organically. Include social sharing buttons or pre-written messages in your updates to make it easy for backers to spread the word.</w:t>
            </w:r>
          </w:p>
        </w:tc>
        <w:tc>
          <w:tcPr>
            <w:tcW w:w="2566" w:type="dxa"/>
            <w:tcBorders>
              <w:top w:val="nil"/>
              <w:left w:val="nil"/>
              <w:bottom w:val="single" w:sz="4" w:space="0" w:color="auto"/>
              <w:right w:val="single" w:sz="4" w:space="0" w:color="auto"/>
            </w:tcBorders>
            <w:shd w:val="clear" w:color="auto" w:fill="auto"/>
            <w:hideMark/>
          </w:tcPr>
          <w:p w14:paraId="5AE229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C4ECD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EDC12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B1D1B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PrimeDayPrizes and PrimeOutreach:</w:t>
            </w:r>
          </w:p>
        </w:tc>
        <w:tc>
          <w:tcPr>
            <w:tcW w:w="6762" w:type="dxa"/>
            <w:tcBorders>
              <w:top w:val="nil"/>
              <w:left w:val="nil"/>
              <w:bottom w:val="single" w:sz="4" w:space="0" w:color="auto"/>
              <w:right w:val="single" w:sz="4" w:space="0" w:color="auto"/>
            </w:tcBorders>
            <w:shd w:val="clear" w:color="auto" w:fill="auto"/>
            <w:hideMark/>
          </w:tcPr>
          <w:p w14:paraId="7FC7280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5695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44F4B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7BEDD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4293D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2D893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Introduce special promotions or incentives on designated "Prime Days" to generate excitement and encourage increased participation. Offer exclusive rewards, discounts, or bonus perks to backers who pledge or share your campaign during these events.</w:t>
            </w:r>
          </w:p>
        </w:tc>
        <w:tc>
          <w:tcPr>
            <w:tcW w:w="2566" w:type="dxa"/>
            <w:tcBorders>
              <w:top w:val="nil"/>
              <w:left w:val="nil"/>
              <w:bottom w:val="single" w:sz="4" w:space="0" w:color="auto"/>
              <w:right w:val="single" w:sz="4" w:space="0" w:color="auto"/>
            </w:tcBorders>
            <w:shd w:val="clear" w:color="auto" w:fill="auto"/>
            <w:hideMark/>
          </w:tcPr>
          <w:p w14:paraId="6EF72B4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38048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F6D4F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946E9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644D6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PrimeDayPrizes to offer limited-time rewards or experiences that are only available for a short period, creating a sense of urgency and driving immediate action. Consider hosting contests, giveaways, or interactive challenges to spark interest and engagement.</w:t>
            </w:r>
          </w:p>
        </w:tc>
        <w:tc>
          <w:tcPr>
            <w:tcW w:w="2566" w:type="dxa"/>
            <w:tcBorders>
              <w:top w:val="nil"/>
              <w:left w:val="nil"/>
              <w:bottom w:val="single" w:sz="4" w:space="0" w:color="auto"/>
              <w:right w:val="single" w:sz="4" w:space="0" w:color="auto"/>
            </w:tcBorders>
            <w:shd w:val="clear" w:color="auto" w:fill="auto"/>
            <w:hideMark/>
          </w:tcPr>
          <w:p w14:paraId="0EFB715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B8A9A3"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31274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095B1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F7F42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PrimeOutreach efforts to expand your campaign's reach beyond your existing network. Identify potential partners, influencers, or communities with aligned interests and values, and collaborate with them to promote your campaign to their audiences. Reach out to relevant media outlets, blogs, forums, and online communities to secure coverage and exposure for your project.</w:t>
            </w:r>
          </w:p>
        </w:tc>
        <w:tc>
          <w:tcPr>
            <w:tcW w:w="2566" w:type="dxa"/>
            <w:tcBorders>
              <w:top w:val="nil"/>
              <w:left w:val="nil"/>
              <w:bottom w:val="single" w:sz="4" w:space="0" w:color="auto"/>
              <w:right w:val="single" w:sz="4" w:space="0" w:color="auto"/>
            </w:tcBorders>
            <w:shd w:val="clear" w:color="auto" w:fill="auto"/>
            <w:hideMark/>
          </w:tcPr>
          <w:p w14:paraId="465F07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3C5CA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50B31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F39A9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PrimeCommunity Engagement:</w:t>
            </w:r>
          </w:p>
        </w:tc>
        <w:tc>
          <w:tcPr>
            <w:tcW w:w="6762" w:type="dxa"/>
            <w:tcBorders>
              <w:top w:val="nil"/>
              <w:left w:val="nil"/>
              <w:bottom w:val="single" w:sz="4" w:space="0" w:color="auto"/>
              <w:right w:val="single" w:sz="4" w:space="0" w:color="auto"/>
            </w:tcBorders>
            <w:shd w:val="clear" w:color="auto" w:fill="auto"/>
            <w:hideMark/>
          </w:tcPr>
          <w:p w14:paraId="637EDB9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4BAFB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8E7C8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ABC81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B0145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A08F2B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Foster a sense of community among backers by creating opportunities for interaction, collaboration, and feedback. Establish a dedicated community space, such as a forum, chat group, or social media community, where backers can connect with each other and with your team.</w:t>
            </w:r>
          </w:p>
        </w:tc>
        <w:tc>
          <w:tcPr>
            <w:tcW w:w="2566" w:type="dxa"/>
            <w:tcBorders>
              <w:top w:val="nil"/>
              <w:left w:val="nil"/>
              <w:bottom w:val="single" w:sz="4" w:space="0" w:color="auto"/>
              <w:right w:val="single" w:sz="4" w:space="0" w:color="auto"/>
            </w:tcBorders>
            <w:shd w:val="clear" w:color="auto" w:fill="auto"/>
            <w:hideMark/>
          </w:tcPr>
          <w:p w14:paraId="44536D2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8D93B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84B41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28F0C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A9D3D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backers to share their ideas, suggestions, and feedback on the project, and actively engage with them to demonstrate that their input is valued and appreciated. Host live Q&amp;A sessions, AMAs (Ask Me Anything), or virtual events to facilitate direct communication and foster a sense of belonging.</w:t>
            </w:r>
          </w:p>
        </w:tc>
        <w:tc>
          <w:tcPr>
            <w:tcW w:w="2566" w:type="dxa"/>
            <w:tcBorders>
              <w:top w:val="nil"/>
              <w:left w:val="nil"/>
              <w:bottom w:val="single" w:sz="4" w:space="0" w:color="auto"/>
              <w:right w:val="single" w:sz="4" w:space="0" w:color="auto"/>
            </w:tcBorders>
            <w:shd w:val="clear" w:color="auto" w:fill="auto"/>
            <w:hideMark/>
          </w:tcPr>
          <w:p w14:paraId="712FC46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436E7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26851E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1B123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9789A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Recognize and celebrate the contributions of backers to the campaign's success. Highlight top supporters, showcase user-generated content, and acknowledge milestone achievements to reinforce a positive and inclusive community culture.</w:t>
            </w:r>
          </w:p>
        </w:tc>
        <w:tc>
          <w:tcPr>
            <w:tcW w:w="2566" w:type="dxa"/>
            <w:tcBorders>
              <w:top w:val="nil"/>
              <w:left w:val="nil"/>
              <w:bottom w:val="single" w:sz="4" w:space="0" w:color="auto"/>
              <w:right w:val="single" w:sz="4" w:space="0" w:color="auto"/>
            </w:tcBorders>
            <w:shd w:val="clear" w:color="auto" w:fill="auto"/>
            <w:hideMark/>
          </w:tcPr>
          <w:p w14:paraId="048876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202E2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FF1C8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94D8D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PrimeMedia Coverage and PrimeWorkers Engagement:</w:t>
            </w:r>
          </w:p>
        </w:tc>
        <w:tc>
          <w:tcPr>
            <w:tcW w:w="6762" w:type="dxa"/>
            <w:tcBorders>
              <w:top w:val="nil"/>
              <w:left w:val="nil"/>
              <w:bottom w:val="single" w:sz="4" w:space="0" w:color="auto"/>
              <w:right w:val="single" w:sz="4" w:space="0" w:color="auto"/>
            </w:tcBorders>
            <w:shd w:val="clear" w:color="auto" w:fill="auto"/>
            <w:hideMark/>
          </w:tcPr>
          <w:p w14:paraId="4E4EB3F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C5A4B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26FFE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0973A3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A1956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EDF54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Continue to pursue media coverage and press opportunities throughout the campaign to raise awareness and attract new backers. Pitch story ideas, press releases, or guest articles to relevant media outlets, journalists, bloggers, and influencers in your industry or niche.</w:t>
            </w:r>
          </w:p>
        </w:tc>
        <w:tc>
          <w:tcPr>
            <w:tcW w:w="2566" w:type="dxa"/>
            <w:tcBorders>
              <w:top w:val="nil"/>
              <w:left w:val="nil"/>
              <w:bottom w:val="single" w:sz="4" w:space="0" w:color="auto"/>
              <w:right w:val="single" w:sz="4" w:space="0" w:color="auto"/>
            </w:tcBorders>
            <w:shd w:val="clear" w:color="auto" w:fill="auto"/>
            <w:hideMark/>
          </w:tcPr>
          <w:p w14:paraId="54E667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CA472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13307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A132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C0A9B8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Engage with PrimeWorkers, including freelancers, volunteers, or ambassadors, who are passionate about your project and willing to contribute their time and skills to support your campaign. Delegate tasks, assign roles, and empower PrimeWorkers to amplify your promotional efforts and extend your campaign's reach.</w:t>
            </w:r>
          </w:p>
        </w:tc>
        <w:tc>
          <w:tcPr>
            <w:tcW w:w="2566" w:type="dxa"/>
            <w:tcBorders>
              <w:top w:val="nil"/>
              <w:left w:val="nil"/>
              <w:bottom w:val="single" w:sz="4" w:space="0" w:color="auto"/>
              <w:right w:val="single" w:sz="4" w:space="0" w:color="auto"/>
            </w:tcBorders>
            <w:shd w:val="clear" w:color="auto" w:fill="auto"/>
            <w:hideMark/>
          </w:tcPr>
          <w:p w14:paraId="0DFE67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45E04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2196AE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270CF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3928380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these ongoing promotion strategies, including momentum bungee updates, PrimeDayPrizes, PrimeOutreach initiatives, PrimeCommunity engagement, and PrimeMedia coverage, you can sustain momentum and maximize engagement throughout your crowdfunding campaign for PrimeBookOne and Antikytherian PrimeBookTools.</w:t>
            </w:r>
          </w:p>
        </w:tc>
        <w:tc>
          <w:tcPr>
            <w:tcW w:w="2566" w:type="dxa"/>
            <w:tcBorders>
              <w:top w:val="nil"/>
              <w:left w:val="nil"/>
              <w:bottom w:val="single" w:sz="4" w:space="0" w:color="auto"/>
              <w:right w:val="single" w:sz="4" w:space="0" w:color="auto"/>
            </w:tcBorders>
            <w:shd w:val="clear" w:color="auto" w:fill="auto"/>
            <w:hideMark/>
          </w:tcPr>
          <w:p w14:paraId="56FAC4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EDA3E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BAA28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FA8DB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1C139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928DE8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A9B3F4" w14:textId="77777777" w:rsidTr="0041317E">
        <w:trPr>
          <w:trHeight w:val="3168"/>
        </w:trPr>
        <w:tc>
          <w:tcPr>
            <w:tcW w:w="1349" w:type="dxa"/>
            <w:tcBorders>
              <w:top w:val="nil"/>
              <w:left w:val="single" w:sz="4" w:space="0" w:color="auto"/>
              <w:bottom w:val="single" w:sz="4" w:space="0" w:color="auto"/>
              <w:right w:val="single" w:sz="4" w:space="0" w:color="auto"/>
            </w:tcBorders>
            <w:shd w:val="clear" w:color="auto" w:fill="auto"/>
            <w:hideMark/>
          </w:tcPr>
          <w:p w14:paraId="4AB4C97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14A225E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d. Final Push: </w:t>
            </w:r>
          </w:p>
        </w:tc>
        <w:tc>
          <w:tcPr>
            <w:tcW w:w="6762" w:type="dxa"/>
            <w:tcBorders>
              <w:top w:val="nil"/>
              <w:left w:val="nil"/>
              <w:bottom w:val="single" w:sz="4" w:space="0" w:color="auto"/>
              <w:right w:val="single" w:sz="4" w:space="0" w:color="auto"/>
            </w:tcBorders>
            <w:shd w:val="clear" w:color="auto" w:fill="auto"/>
            <w:hideMark/>
          </w:tcPr>
          <w:p w14:paraId="2B9443C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Generate excitement and urgency in the final days of the campaign with countdowns, milestones, and last-minute incentives to encourage backers to pledge their support and help reach the funding goal.</w:t>
            </w:r>
          </w:p>
        </w:tc>
        <w:tc>
          <w:tcPr>
            <w:tcW w:w="2566" w:type="dxa"/>
            <w:tcBorders>
              <w:top w:val="nil"/>
              <w:left w:val="nil"/>
              <w:bottom w:val="single" w:sz="4" w:space="0" w:color="auto"/>
              <w:right w:val="single" w:sz="4" w:space="0" w:color="auto"/>
            </w:tcBorders>
            <w:shd w:val="clear" w:color="auto" w:fill="auto"/>
            <w:hideMark/>
          </w:tcPr>
          <w:p w14:paraId="71F888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Window of opportunity to be a prime contributor before Formation.  Little by little to create a mountain of possibilities while live investing in ongoing needed resources such as programmers and administrative to keep the energy of the crowd funding going indefinitely.</w:t>
            </w:r>
          </w:p>
        </w:tc>
      </w:tr>
      <w:tr w:rsidR="0041317E" w:rsidRPr="0041317E" w14:paraId="35C6920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76978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52C06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ACD28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 the final days of your crowdfunding campaign, executing a well-planned final push can make all the difference in achieving your funding goal and maximizing support for your project. Let's delve into extreme detail on how you can generate excitement and urgency during this critical phase:</w:t>
            </w:r>
          </w:p>
        </w:tc>
        <w:tc>
          <w:tcPr>
            <w:tcW w:w="2566" w:type="dxa"/>
            <w:tcBorders>
              <w:top w:val="nil"/>
              <w:left w:val="nil"/>
              <w:bottom w:val="single" w:sz="4" w:space="0" w:color="auto"/>
              <w:right w:val="single" w:sz="4" w:space="0" w:color="auto"/>
            </w:tcBorders>
            <w:shd w:val="clear" w:color="auto" w:fill="auto"/>
            <w:hideMark/>
          </w:tcPr>
          <w:p w14:paraId="4214DF4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60A54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DDC7A8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551CB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Window of Opportunity Before Formation:</w:t>
            </w:r>
          </w:p>
        </w:tc>
        <w:tc>
          <w:tcPr>
            <w:tcW w:w="6762" w:type="dxa"/>
            <w:tcBorders>
              <w:top w:val="nil"/>
              <w:left w:val="nil"/>
              <w:bottom w:val="single" w:sz="4" w:space="0" w:color="auto"/>
              <w:right w:val="single" w:sz="4" w:space="0" w:color="auto"/>
            </w:tcBorders>
            <w:shd w:val="clear" w:color="auto" w:fill="auto"/>
            <w:hideMark/>
          </w:tcPr>
          <w:p w14:paraId="123AFDC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C27AE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222B73"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BB15C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252E9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796F3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Emphasize the limited-time opportunity for backers to become prime contributors before the formation of PrimeBookOne and Antikytherian PrimeBookTools. Highlight the significance of being part of the initial wave of supporters who help shape the future of the project and secure exclusive benefits or recognition.</w:t>
            </w:r>
          </w:p>
        </w:tc>
        <w:tc>
          <w:tcPr>
            <w:tcW w:w="2566" w:type="dxa"/>
            <w:tcBorders>
              <w:top w:val="nil"/>
              <w:left w:val="nil"/>
              <w:bottom w:val="single" w:sz="4" w:space="0" w:color="auto"/>
              <w:right w:val="single" w:sz="4" w:space="0" w:color="auto"/>
            </w:tcBorders>
            <w:shd w:val="clear" w:color="auto" w:fill="auto"/>
            <w:hideMark/>
          </w:tcPr>
          <w:p w14:paraId="64AB42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F973E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EE988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1A4FC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72B9C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countdown timers or progress bars prominently displayed on your campaign page to visually communicate the dwindling time remaining until the campaign concludes. Use compelling messaging to convey the sense of urgency and encourage backers to take action before it's too late.</w:t>
            </w:r>
          </w:p>
        </w:tc>
        <w:tc>
          <w:tcPr>
            <w:tcW w:w="2566" w:type="dxa"/>
            <w:tcBorders>
              <w:top w:val="nil"/>
              <w:left w:val="nil"/>
              <w:bottom w:val="single" w:sz="4" w:space="0" w:color="auto"/>
              <w:right w:val="single" w:sz="4" w:space="0" w:color="auto"/>
            </w:tcBorders>
            <w:shd w:val="clear" w:color="auto" w:fill="auto"/>
            <w:hideMark/>
          </w:tcPr>
          <w:p w14:paraId="184D6A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EB001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8DF37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6AF02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Incremental Progress Towards Funding Goal:</w:t>
            </w:r>
          </w:p>
        </w:tc>
        <w:tc>
          <w:tcPr>
            <w:tcW w:w="6762" w:type="dxa"/>
            <w:tcBorders>
              <w:top w:val="nil"/>
              <w:left w:val="nil"/>
              <w:bottom w:val="single" w:sz="4" w:space="0" w:color="auto"/>
              <w:right w:val="single" w:sz="4" w:space="0" w:color="auto"/>
            </w:tcBorders>
            <w:shd w:val="clear" w:color="auto" w:fill="auto"/>
            <w:hideMark/>
          </w:tcPr>
          <w:p w14:paraId="2F8C10D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B6EC7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6D82A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970045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646D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DB016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Showcase the incremental progress made towards reaching the funding goal, celebrating each milestone achieved along the way. Provide regular updates on the campaign's progress, emphasizing the collective impact of backers' contributions in moving closer to the target.</w:t>
            </w:r>
          </w:p>
        </w:tc>
        <w:tc>
          <w:tcPr>
            <w:tcW w:w="2566" w:type="dxa"/>
            <w:tcBorders>
              <w:top w:val="nil"/>
              <w:left w:val="nil"/>
              <w:bottom w:val="single" w:sz="4" w:space="0" w:color="auto"/>
              <w:right w:val="single" w:sz="4" w:space="0" w:color="auto"/>
            </w:tcBorders>
            <w:shd w:val="clear" w:color="auto" w:fill="auto"/>
            <w:hideMark/>
          </w:tcPr>
          <w:p w14:paraId="78D0DA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7D2F1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73A5F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60C88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F91AA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stretch goals or additional incentives tied to specific funding milestones to incentivize backers to increase their pledges and help unlock new achievements. Communicate the added value or rewards that will be unlocked once certain funding thresholds are surpassed.</w:t>
            </w:r>
          </w:p>
        </w:tc>
        <w:tc>
          <w:tcPr>
            <w:tcW w:w="2566" w:type="dxa"/>
            <w:tcBorders>
              <w:top w:val="nil"/>
              <w:left w:val="nil"/>
              <w:bottom w:val="single" w:sz="4" w:space="0" w:color="auto"/>
              <w:right w:val="single" w:sz="4" w:space="0" w:color="auto"/>
            </w:tcBorders>
            <w:shd w:val="clear" w:color="auto" w:fill="auto"/>
            <w:hideMark/>
          </w:tcPr>
          <w:p w14:paraId="2B80B3C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D1AC3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48514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7F793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Live Investing in Ongoing Resources:</w:t>
            </w:r>
          </w:p>
        </w:tc>
        <w:tc>
          <w:tcPr>
            <w:tcW w:w="6762" w:type="dxa"/>
            <w:tcBorders>
              <w:top w:val="nil"/>
              <w:left w:val="nil"/>
              <w:bottom w:val="single" w:sz="4" w:space="0" w:color="auto"/>
              <w:right w:val="single" w:sz="4" w:space="0" w:color="auto"/>
            </w:tcBorders>
            <w:shd w:val="clear" w:color="auto" w:fill="auto"/>
            <w:hideMark/>
          </w:tcPr>
          <w:p w14:paraId="255A461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33EC3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1019E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BC8E69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4402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D0FB7F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Reinforce the message that every pledge counts and contributes directly to supporting ongoing project needs, such as hiring additional programmers, administrative staff, or acquiring necessary resources to keep the momentum of the crowdfunding campaign going indefinitely.</w:t>
            </w:r>
          </w:p>
        </w:tc>
        <w:tc>
          <w:tcPr>
            <w:tcW w:w="2566" w:type="dxa"/>
            <w:tcBorders>
              <w:top w:val="nil"/>
              <w:left w:val="nil"/>
              <w:bottom w:val="single" w:sz="4" w:space="0" w:color="auto"/>
              <w:right w:val="single" w:sz="4" w:space="0" w:color="auto"/>
            </w:tcBorders>
            <w:shd w:val="clear" w:color="auto" w:fill="auto"/>
            <w:hideMark/>
          </w:tcPr>
          <w:p w14:paraId="4F105EC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A39F5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EBDD20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2F826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AB83C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transparency regarding how funds will be utilized in the final push phase, reassuring backers that their contributions will have a tangible impact on advancing the project and ensuring its success beyond the campaign.</w:t>
            </w:r>
          </w:p>
        </w:tc>
        <w:tc>
          <w:tcPr>
            <w:tcW w:w="2566" w:type="dxa"/>
            <w:tcBorders>
              <w:top w:val="nil"/>
              <w:left w:val="nil"/>
              <w:bottom w:val="single" w:sz="4" w:space="0" w:color="auto"/>
              <w:right w:val="single" w:sz="4" w:space="0" w:color="auto"/>
            </w:tcBorders>
            <w:shd w:val="clear" w:color="auto" w:fill="auto"/>
            <w:hideMark/>
          </w:tcPr>
          <w:p w14:paraId="2EEC91D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17288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42412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D9950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Last-Minute Incentives and Rewards:</w:t>
            </w:r>
          </w:p>
        </w:tc>
        <w:tc>
          <w:tcPr>
            <w:tcW w:w="6762" w:type="dxa"/>
            <w:tcBorders>
              <w:top w:val="nil"/>
              <w:left w:val="nil"/>
              <w:bottom w:val="single" w:sz="4" w:space="0" w:color="auto"/>
              <w:right w:val="single" w:sz="4" w:space="0" w:color="auto"/>
            </w:tcBorders>
            <w:shd w:val="clear" w:color="auto" w:fill="auto"/>
            <w:hideMark/>
          </w:tcPr>
          <w:p w14:paraId="6436D0C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F38A8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17B08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27A8C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7477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213B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B0530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86D4C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4DB2EB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9CD56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6B310C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Introduce compelling last-minute incentives or rewards to entice potential backers to pledge their support before the campaign concludes. Consider offering exclusive limited-time offers, discounts, or bonus rewards for backers who pledge during the final days.</w:t>
            </w:r>
          </w:p>
        </w:tc>
        <w:tc>
          <w:tcPr>
            <w:tcW w:w="2566" w:type="dxa"/>
            <w:tcBorders>
              <w:top w:val="nil"/>
              <w:left w:val="nil"/>
              <w:bottom w:val="single" w:sz="4" w:space="0" w:color="auto"/>
              <w:right w:val="single" w:sz="4" w:space="0" w:color="auto"/>
            </w:tcBorders>
            <w:shd w:val="clear" w:color="auto" w:fill="auto"/>
            <w:hideMark/>
          </w:tcPr>
          <w:p w14:paraId="4E9880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9CA61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E9D3F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94BCA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166C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scarcity and exclusivity to create a sense of urgency, highlighting that these special incentives or rewards will only be available for a limited time or to a limited number of backers. Encourage backers to act quickly to secure their desired rewards before they're gone.</w:t>
            </w:r>
          </w:p>
        </w:tc>
        <w:tc>
          <w:tcPr>
            <w:tcW w:w="2566" w:type="dxa"/>
            <w:tcBorders>
              <w:top w:val="nil"/>
              <w:left w:val="nil"/>
              <w:bottom w:val="single" w:sz="4" w:space="0" w:color="auto"/>
              <w:right w:val="single" w:sz="4" w:space="0" w:color="auto"/>
            </w:tcBorders>
            <w:shd w:val="clear" w:color="auto" w:fill="auto"/>
            <w:hideMark/>
          </w:tcPr>
          <w:p w14:paraId="313EBB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5CB41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A9DBD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73AB6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Harnessing the Energy of Crowdfunding Indefinitely:</w:t>
            </w:r>
          </w:p>
        </w:tc>
        <w:tc>
          <w:tcPr>
            <w:tcW w:w="6762" w:type="dxa"/>
            <w:tcBorders>
              <w:top w:val="nil"/>
              <w:left w:val="nil"/>
              <w:bottom w:val="single" w:sz="4" w:space="0" w:color="auto"/>
              <w:right w:val="single" w:sz="4" w:space="0" w:color="auto"/>
            </w:tcBorders>
            <w:shd w:val="clear" w:color="auto" w:fill="auto"/>
            <w:hideMark/>
          </w:tcPr>
          <w:p w14:paraId="3083815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00672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67620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974C8D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48CF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417FC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Lay the groundwork for sustaining the energy and momentum of the crowdfunding campaign beyond its conclusion. Encourage backers to stay engaged and involved in the project's development by joining mailing lists, following social media channels, or participating in community forums.</w:t>
            </w:r>
          </w:p>
        </w:tc>
        <w:tc>
          <w:tcPr>
            <w:tcW w:w="2566" w:type="dxa"/>
            <w:tcBorders>
              <w:top w:val="nil"/>
              <w:left w:val="nil"/>
              <w:bottom w:val="single" w:sz="4" w:space="0" w:color="auto"/>
              <w:right w:val="single" w:sz="4" w:space="0" w:color="auto"/>
            </w:tcBorders>
            <w:shd w:val="clear" w:color="auto" w:fill="auto"/>
            <w:hideMark/>
          </w:tcPr>
          <w:p w14:paraId="7FCF4A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B43C2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F29BC4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28E00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27970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Express gratitude to backers for their support throughout the campaign, acknowledging their role in making the project a reality. Foster a sense of belonging and ownership among backers, inviting them to continue being part of the journey as the project evolves and grows.</w:t>
            </w:r>
          </w:p>
        </w:tc>
        <w:tc>
          <w:tcPr>
            <w:tcW w:w="2566" w:type="dxa"/>
            <w:tcBorders>
              <w:top w:val="nil"/>
              <w:left w:val="nil"/>
              <w:bottom w:val="single" w:sz="4" w:space="0" w:color="auto"/>
              <w:right w:val="single" w:sz="4" w:space="0" w:color="auto"/>
            </w:tcBorders>
            <w:shd w:val="clear" w:color="auto" w:fill="auto"/>
            <w:hideMark/>
          </w:tcPr>
          <w:p w14:paraId="5FD8E41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C402B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37545B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FF6BB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Implementation: </w:t>
            </w:r>
          </w:p>
        </w:tc>
        <w:tc>
          <w:tcPr>
            <w:tcW w:w="6762" w:type="dxa"/>
            <w:tcBorders>
              <w:top w:val="nil"/>
              <w:left w:val="nil"/>
              <w:bottom w:val="single" w:sz="4" w:space="0" w:color="auto"/>
              <w:right w:val="single" w:sz="4" w:space="0" w:color="auto"/>
            </w:tcBorders>
            <w:shd w:val="clear" w:color="auto" w:fill="auto"/>
            <w:hideMark/>
          </w:tcPr>
          <w:p w14:paraId="15D54D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these strategies during the final push phase of your crowdfunding campaign, you can create excitement, urgency, and momentum that propel your project towards its funding goal and set the stage for long-term success.</w:t>
            </w:r>
          </w:p>
        </w:tc>
        <w:tc>
          <w:tcPr>
            <w:tcW w:w="2566" w:type="dxa"/>
            <w:tcBorders>
              <w:top w:val="nil"/>
              <w:left w:val="nil"/>
              <w:bottom w:val="single" w:sz="4" w:space="0" w:color="auto"/>
              <w:right w:val="single" w:sz="4" w:space="0" w:color="auto"/>
            </w:tcBorders>
            <w:shd w:val="clear" w:color="auto" w:fill="auto"/>
            <w:hideMark/>
          </w:tcPr>
          <w:p w14:paraId="32FA2E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17956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4A896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A352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9049C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6BAE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47F39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9CB89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506F815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Outreach Tactics: </w:t>
            </w:r>
          </w:p>
        </w:tc>
        <w:tc>
          <w:tcPr>
            <w:tcW w:w="6762" w:type="dxa"/>
            <w:tcBorders>
              <w:top w:val="nil"/>
              <w:left w:val="nil"/>
              <w:bottom w:val="single" w:sz="4" w:space="0" w:color="auto"/>
              <w:right w:val="single" w:sz="4" w:space="0" w:color="auto"/>
            </w:tcBorders>
            <w:shd w:val="clear" w:color="auto" w:fill="auto"/>
            <w:hideMark/>
          </w:tcPr>
          <w:p w14:paraId="60C16EC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Implement targeted outreach tactics to engage with potential backers and stakeholders in the project's target audience. This may include:</w:t>
            </w:r>
          </w:p>
        </w:tc>
        <w:tc>
          <w:tcPr>
            <w:tcW w:w="2566" w:type="dxa"/>
            <w:tcBorders>
              <w:top w:val="nil"/>
              <w:left w:val="nil"/>
              <w:bottom w:val="single" w:sz="4" w:space="0" w:color="auto"/>
              <w:right w:val="single" w:sz="4" w:space="0" w:color="auto"/>
            </w:tcBorders>
            <w:shd w:val="clear" w:color="auto" w:fill="auto"/>
            <w:hideMark/>
          </w:tcPr>
          <w:p w14:paraId="77C3740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1AB5F1" w14:textId="77777777" w:rsidTr="0041317E">
        <w:trPr>
          <w:trHeight w:val="3456"/>
        </w:trPr>
        <w:tc>
          <w:tcPr>
            <w:tcW w:w="1349" w:type="dxa"/>
            <w:tcBorders>
              <w:top w:val="nil"/>
              <w:left w:val="single" w:sz="4" w:space="0" w:color="auto"/>
              <w:bottom w:val="single" w:sz="4" w:space="0" w:color="auto"/>
              <w:right w:val="single" w:sz="4" w:space="0" w:color="auto"/>
            </w:tcBorders>
            <w:shd w:val="clear" w:color="auto" w:fill="auto"/>
            <w:hideMark/>
          </w:tcPr>
          <w:p w14:paraId="035790E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5E296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Social Media Outreach: </w:t>
            </w:r>
          </w:p>
        </w:tc>
        <w:tc>
          <w:tcPr>
            <w:tcW w:w="6762" w:type="dxa"/>
            <w:tcBorders>
              <w:top w:val="nil"/>
              <w:left w:val="nil"/>
              <w:bottom w:val="single" w:sz="4" w:space="0" w:color="auto"/>
              <w:right w:val="single" w:sz="4" w:space="0" w:color="auto"/>
            </w:tcBorders>
            <w:shd w:val="clear" w:color="auto" w:fill="auto"/>
            <w:hideMark/>
          </w:tcPr>
          <w:p w14:paraId="2468606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Leverage social media platforms such as Twitter, Facebook, Instagram, LinkedIn, and Reddit to share campaign updates, engage with followers, and amplify reach through hashtags, mentions, and collaborations with influencers or partners.</w:t>
            </w:r>
          </w:p>
        </w:tc>
        <w:tc>
          <w:tcPr>
            <w:tcW w:w="2566" w:type="dxa"/>
            <w:tcBorders>
              <w:top w:val="nil"/>
              <w:left w:val="nil"/>
              <w:bottom w:val="single" w:sz="4" w:space="0" w:color="auto"/>
              <w:right w:val="single" w:sz="4" w:space="0" w:color="auto"/>
            </w:tcBorders>
            <w:shd w:val="clear" w:color="auto" w:fill="auto"/>
            <w:hideMark/>
          </w:tcPr>
          <w:p w14:paraId="53479B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Build a All-In-One Post system to place all updates on all platforms at once and to pull in all the comments requests and contacts back to the All-In-One Post System.  What product is offered for full social media outreach.  Research advertising avenues on the same Channels.</w:t>
            </w:r>
          </w:p>
        </w:tc>
      </w:tr>
      <w:tr w:rsidR="0041317E" w:rsidRPr="0041317E" w14:paraId="7377FB0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4C2CF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9B1E7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EBE39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Implementing targeted outreach tactics during your crowdfunding campaign can significantly boost engagement and attract more backers. Let's delve into extreme detail on how you can leverage social media outreach effectively:</w:t>
            </w:r>
          </w:p>
        </w:tc>
        <w:tc>
          <w:tcPr>
            <w:tcW w:w="2566" w:type="dxa"/>
            <w:tcBorders>
              <w:top w:val="nil"/>
              <w:left w:val="nil"/>
              <w:bottom w:val="single" w:sz="4" w:space="0" w:color="auto"/>
              <w:right w:val="single" w:sz="4" w:space="0" w:color="auto"/>
            </w:tcBorders>
            <w:shd w:val="clear" w:color="auto" w:fill="auto"/>
            <w:hideMark/>
          </w:tcPr>
          <w:p w14:paraId="0985F7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9BCEF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CE604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4B3F5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All-In-One Post System:</w:t>
            </w:r>
          </w:p>
        </w:tc>
        <w:tc>
          <w:tcPr>
            <w:tcW w:w="6762" w:type="dxa"/>
            <w:tcBorders>
              <w:top w:val="nil"/>
              <w:left w:val="nil"/>
              <w:bottom w:val="single" w:sz="4" w:space="0" w:color="auto"/>
              <w:right w:val="single" w:sz="4" w:space="0" w:color="auto"/>
            </w:tcBorders>
            <w:shd w:val="clear" w:color="auto" w:fill="auto"/>
            <w:hideMark/>
          </w:tcPr>
          <w:p w14:paraId="04C8E92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AA673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127C9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A60D8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6B7F8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084C9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comprehensive system or platform that allows you to create and schedule posts across multiple social media platforms simultaneously. This centralized dashboard should enable you to compose campaign updates, announcements, and calls-to-action and distribute them across various channels with a single click.</w:t>
            </w:r>
          </w:p>
        </w:tc>
        <w:tc>
          <w:tcPr>
            <w:tcW w:w="2566" w:type="dxa"/>
            <w:tcBorders>
              <w:top w:val="nil"/>
              <w:left w:val="nil"/>
              <w:bottom w:val="single" w:sz="4" w:space="0" w:color="auto"/>
              <w:right w:val="single" w:sz="4" w:space="0" w:color="auto"/>
            </w:tcBorders>
            <w:shd w:val="clear" w:color="auto" w:fill="auto"/>
            <w:hideMark/>
          </w:tcPr>
          <w:p w14:paraId="546E07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DFEC6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C43273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4357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79BA6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the All-In-One Post System provides real-time analytics and insights into the performance of your social media posts, including metrics such as engagement, reach, and click-through rates. Use these analytics to refine your outreach strategy and optimize future content.</w:t>
            </w:r>
          </w:p>
        </w:tc>
        <w:tc>
          <w:tcPr>
            <w:tcW w:w="2566" w:type="dxa"/>
            <w:tcBorders>
              <w:top w:val="nil"/>
              <w:left w:val="nil"/>
              <w:bottom w:val="single" w:sz="4" w:space="0" w:color="auto"/>
              <w:right w:val="single" w:sz="4" w:space="0" w:color="auto"/>
            </w:tcBorders>
            <w:shd w:val="clear" w:color="auto" w:fill="auto"/>
            <w:hideMark/>
          </w:tcPr>
          <w:p w14:paraId="01F1FF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56DA2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87D316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DCB17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Product Offering for Social Media Outreach:</w:t>
            </w:r>
          </w:p>
        </w:tc>
        <w:tc>
          <w:tcPr>
            <w:tcW w:w="6762" w:type="dxa"/>
            <w:tcBorders>
              <w:top w:val="nil"/>
              <w:left w:val="nil"/>
              <w:bottom w:val="single" w:sz="4" w:space="0" w:color="auto"/>
              <w:right w:val="single" w:sz="4" w:space="0" w:color="auto"/>
            </w:tcBorders>
            <w:shd w:val="clear" w:color="auto" w:fill="auto"/>
            <w:hideMark/>
          </w:tcPr>
          <w:p w14:paraId="4E91819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2569C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BC1DE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3FC81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F882F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C444F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offering a unique product or reward specifically tailored for backers who engage with your campaign through social media channels. This could include exclusive digital content, behind-the-scenes access, or limited-time offers available only to followers or subscribers on social media platforms.</w:t>
            </w:r>
          </w:p>
        </w:tc>
        <w:tc>
          <w:tcPr>
            <w:tcW w:w="2566" w:type="dxa"/>
            <w:tcBorders>
              <w:top w:val="nil"/>
              <w:left w:val="nil"/>
              <w:bottom w:val="single" w:sz="4" w:space="0" w:color="auto"/>
              <w:right w:val="single" w:sz="4" w:space="0" w:color="auto"/>
            </w:tcBorders>
            <w:shd w:val="clear" w:color="auto" w:fill="auto"/>
            <w:hideMark/>
          </w:tcPr>
          <w:p w14:paraId="3495D9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4046D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2D4F7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21DAB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CF651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the interactive nature of social media to encourage user-generated content and participation. Encourage backers to share their experiences, testimonials, or user-generated content related to your project, amplifying the campaign's reach and fostering a sense of community among followers.</w:t>
            </w:r>
          </w:p>
        </w:tc>
        <w:tc>
          <w:tcPr>
            <w:tcW w:w="2566" w:type="dxa"/>
            <w:tcBorders>
              <w:top w:val="nil"/>
              <w:left w:val="nil"/>
              <w:bottom w:val="single" w:sz="4" w:space="0" w:color="auto"/>
              <w:right w:val="single" w:sz="4" w:space="0" w:color="auto"/>
            </w:tcBorders>
            <w:shd w:val="clear" w:color="auto" w:fill="auto"/>
            <w:hideMark/>
          </w:tcPr>
          <w:p w14:paraId="4F66AE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434F9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9EAEC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7D7D5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Research Advertising Avenues:</w:t>
            </w:r>
          </w:p>
        </w:tc>
        <w:tc>
          <w:tcPr>
            <w:tcW w:w="6762" w:type="dxa"/>
            <w:tcBorders>
              <w:top w:val="nil"/>
              <w:left w:val="nil"/>
              <w:bottom w:val="single" w:sz="4" w:space="0" w:color="auto"/>
              <w:right w:val="single" w:sz="4" w:space="0" w:color="auto"/>
            </w:tcBorders>
            <w:shd w:val="clear" w:color="auto" w:fill="auto"/>
            <w:hideMark/>
          </w:tcPr>
          <w:p w14:paraId="2D3D9D9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FD270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B90E3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C5090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C7068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35272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thorough research to identify the most effective advertising avenues on each social media platform for promoting your crowdfunding campaign. Explore options such as sponsored posts, targeted ads, promoted hashtags, and influencer partnerships to maximize visibility and engagement.</w:t>
            </w:r>
          </w:p>
        </w:tc>
        <w:tc>
          <w:tcPr>
            <w:tcW w:w="2566" w:type="dxa"/>
            <w:tcBorders>
              <w:top w:val="nil"/>
              <w:left w:val="nil"/>
              <w:bottom w:val="single" w:sz="4" w:space="0" w:color="auto"/>
              <w:right w:val="single" w:sz="4" w:space="0" w:color="auto"/>
            </w:tcBorders>
            <w:shd w:val="clear" w:color="auto" w:fill="auto"/>
            <w:hideMark/>
          </w:tcPr>
          <w:p w14:paraId="1D0F36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DFB3D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563EB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611AC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4E3F2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the targeting capabilities offered by social media advertising platforms to reach specific demographics, interests, or geographic locations that align with your project's target audience. Tailor your ad content and messaging to resonate with the preferences and priorities of these audience segments.</w:t>
            </w:r>
          </w:p>
        </w:tc>
        <w:tc>
          <w:tcPr>
            <w:tcW w:w="2566" w:type="dxa"/>
            <w:tcBorders>
              <w:top w:val="nil"/>
              <w:left w:val="nil"/>
              <w:bottom w:val="single" w:sz="4" w:space="0" w:color="auto"/>
              <w:right w:val="single" w:sz="4" w:space="0" w:color="auto"/>
            </w:tcBorders>
            <w:shd w:val="clear" w:color="auto" w:fill="auto"/>
            <w:hideMark/>
          </w:tcPr>
          <w:p w14:paraId="19D8BD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BC789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303C05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F66CA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Collaboration with Influencers and Partners:</w:t>
            </w:r>
          </w:p>
        </w:tc>
        <w:tc>
          <w:tcPr>
            <w:tcW w:w="6762" w:type="dxa"/>
            <w:tcBorders>
              <w:top w:val="nil"/>
              <w:left w:val="nil"/>
              <w:bottom w:val="single" w:sz="4" w:space="0" w:color="auto"/>
              <w:right w:val="single" w:sz="4" w:space="0" w:color="auto"/>
            </w:tcBorders>
            <w:shd w:val="clear" w:color="auto" w:fill="auto"/>
            <w:hideMark/>
          </w:tcPr>
          <w:p w14:paraId="05B3DCA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023AD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255D1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06BA20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33F0F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AEED7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Forge strategic partnerships with influencers, content creators, or organizations in your niche or industry who have a significant following and influence on social media platforms. Collaborate with these influencers to promote your campaign to their audience through sponsored posts, shoutouts, or co-branded content.</w:t>
            </w:r>
          </w:p>
        </w:tc>
        <w:tc>
          <w:tcPr>
            <w:tcW w:w="2566" w:type="dxa"/>
            <w:tcBorders>
              <w:top w:val="nil"/>
              <w:left w:val="nil"/>
              <w:bottom w:val="single" w:sz="4" w:space="0" w:color="auto"/>
              <w:right w:val="single" w:sz="4" w:space="0" w:color="auto"/>
            </w:tcBorders>
            <w:shd w:val="clear" w:color="auto" w:fill="auto"/>
            <w:hideMark/>
          </w:tcPr>
          <w:p w14:paraId="64D908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8DB66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723D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9E522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6C18D5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Identify influencers or partners whose values, interests, and audience demographics align closely with those of your project. Authenticity and relevance are key to ensuring that influencer collaborations resonate with their followers and drive meaningful engagement with your campaign.</w:t>
            </w:r>
          </w:p>
        </w:tc>
        <w:tc>
          <w:tcPr>
            <w:tcW w:w="2566" w:type="dxa"/>
            <w:tcBorders>
              <w:top w:val="nil"/>
              <w:left w:val="nil"/>
              <w:bottom w:val="single" w:sz="4" w:space="0" w:color="auto"/>
              <w:right w:val="single" w:sz="4" w:space="0" w:color="auto"/>
            </w:tcBorders>
            <w:shd w:val="clear" w:color="auto" w:fill="auto"/>
            <w:hideMark/>
          </w:tcPr>
          <w:p w14:paraId="6A58E6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985FF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A9C35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C17C8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Community Engagement and Interaction:</w:t>
            </w:r>
          </w:p>
        </w:tc>
        <w:tc>
          <w:tcPr>
            <w:tcW w:w="6762" w:type="dxa"/>
            <w:tcBorders>
              <w:top w:val="nil"/>
              <w:left w:val="nil"/>
              <w:bottom w:val="single" w:sz="4" w:space="0" w:color="auto"/>
              <w:right w:val="single" w:sz="4" w:space="0" w:color="auto"/>
            </w:tcBorders>
            <w:shd w:val="clear" w:color="auto" w:fill="auto"/>
            <w:hideMark/>
          </w:tcPr>
          <w:p w14:paraId="2AD4607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085083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DBDB4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2A7A0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D12A0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A46EA1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Foster active engagement and interaction with your social media followers by responding promptly to comments, messages, and inquiries. Encourage dialogue, ask questions, and solicit feedback to cultivate a sense of community and involvement among your audience.</w:t>
            </w:r>
          </w:p>
        </w:tc>
        <w:tc>
          <w:tcPr>
            <w:tcW w:w="2566" w:type="dxa"/>
            <w:tcBorders>
              <w:top w:val="nil"/>
              <w:left w:val="nil"/>
              <w:bottom w:val="single" w:sz="4" w:space="0" w:color="auto"/>
              <w:right w:val="single" w:sz="4" w:space="0" w:color="auto"/>
            </w:tcBorders>
            <w:shd w:val="clear" w:color="auto" w:fill="auto"/>
            <w:hideMark/>
          </w:tcPr>
          <w:p w14:paraId="0D8E9AF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D71CA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77751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7FD77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79391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polls, quizzes, or interactive content that encourages participation and generates buzz around your campaign. Use social media as a platform for storytelling, sharing project updates, and highlighting the impact of backers' contributions on the project's success.</w:t>
            </w:r>
          </w:p>
        </w:tc>
        <w:tc>
          <w:tcPr>
            <w:tcW w:w="2566" w:type="dxa"/>
            <w:tcBorders>
              <w:top w:val="nil"/>
              <w:left w:val="nil"/>
              <w:bottom w:val="single" w:sz="4" w:space="0" w:color="auto"/>
              <w:right w:val="single" w:sz="4" w:space="0" w:color="auto"/>
            </w:tcBorders>
            <w:shd w:val="clear" w:color="auto" w:fill="auto"/>
            <w:hideMark/>
          </w:tcPr>
          <w:p w14:paraId="0B8FC07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79ED7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B72E5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DA0C4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1515D7F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these strategies for social media outreach as part of your overall outreach tactics, you can effectively leverage the power of social media platforms to expand your campaign's reach, attract more backers, and ultimately achieve your funding goals.</w:t>
            </w:r>
          </w:p>
        </w:tc>
        <w:tc>
          <w:tcPr>
            <w:tcW w:w="2566" w:type="dxa"/>
            <w:tcBorders>
              <w:top w:val="nil"/>
              <w:left w:val="nil"/>
              <w:bottom w:val="single" w:sz="4" w:space="0" w:color="auto"/>
              <w:right w:val="single" w:sz="4" w:space="0" w:color="auto"/>
            </w:tcBorders>
            <w:shd w:val="clear" w:color="auto" w:fill="auto"/>
            <w:hideMark/>
          </w:tcPr>
          <w:p w14:paraId="020BB0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C723D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198274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28BED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2E205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F9B6D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5E516E" w14:textId="77777777" w:rsidTr="0041317E">
        <w:trPr>
          <w:trHeight w:val="2880"/>
        </w:trPr>
        <w:tc>
          <w:tcPr>
            <w:tcW w:w="1349" w:type="dxa"/>
            <w:tcBorders>
              <w:top w:val="nil"/>
              <w:left w:val="single" w:sz="4" w:space="0" w:color="auto"/>
              <w:bottom w:val="single" w:sz="4" w:space="0" w:color="auto"/>
              <w:right w:val="single" w:sz="4" w:space="0" w:color="auto"/>
            </w:tcBorders>
            <w:shd w:val="clear" w:color="auto" w:fill="auto"/>
            <w:hideMark/>
          </w:tcPr>
          <w:p w14:paraId="2AB7234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4ED2619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Email Marketing: </w:t>
            </w:r>
          </w:p>
        </w:tc>
        <w:tc>
          <w:tcPr>
            <w:tcW w:w="6762" w:type="dxa"/>
            <w:tcBorders>
              <w:top w:val="nil"/>
              <w:left w:val="nil"/>
              <w:bottom w:val="single" w:sz="4" w:space="0" w:color="auto"/>
              <w:right w:val="single" w:sz="4" w:space="0" w:color="auto"/>
            </w:tcBorders>
            <w:shd w:val="clear" w:color="auto" w:fill="auto"/>
            <w:hideMark/>
          </w:tcPr>
          <w:p w14:paraId="77F7D50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Build and nurture an email list of subscribers interested in the project or related topics. Send personalized email updates, newsletters, and campaign announcements to keep subscribers informed and engaged throughout the campaign.</w:t>
            </w:r>
          </w:p>
        </w:tc>
        <w:tc>
          <w:tcPr>
            <w:tcW w:w="2566" w:type="dxa"/>
            <w:tcBorders>
              <w:top w:val="nil"/>
              <w:left w:val="nil"/>
              <w:bottom w:val="single" w:sz="4" w:space="0" w:color="auto"/>
              <w:right w:val="single" w:sz="4" w:space="0" w:color="auto"/>
            </w:tcBorders>
            <w:shd w:val="clear" w:color="auto" w:fill="auto"/>
            <w:hideMark/>
          </w:tcPr>
          <w:p w14:paraId="79B40C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Have a simple informative title of the email.  Create a simple unsubscribe. Do not overload people with nonsense needless uninformative emails.  Every email a necessary emails and no appology emails or oops we sent the wrong email annoyances.</w:t>
            </w:r>
          </w:p>
        </w:tc>
      </w:tr>
      <w:tr w:rsidR="0041317E" w:rsidRPr="0041317E" w14:paraId="4F76C55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C66A60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FC35C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EA902D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Implementing email marketing tactics can be a powerful way to engage with potential backers and stakeholders in your project's target audience. Let's delve into extreme detail on how to execute an effective email marketing strategy for your crowdfunding campaign:</w:t>
            </w:r>
          </w:p>
        </w:tc>
        <w:tc>
          <w:tcPr>
            <w:tcW w:w="2566" w:type="dxa"/>
            <w:tcBorders>
              <w:top w:val="nil"/>
              <w:left w:val="nil"/>
              <w:bottom w:val="single" w:sz="4" w:space="0" w:color="auto"/>
              <w:right w:val="single" w:sz="4" w:space="0" w:color="auto"/>
            </w:tcBorders>
            <w:shd w:val="clear" w:color="auto" w:fill="auto"/>
            <w:hideMark/>
          </w:tcPr>
          <w:p w14:paraId="04DDE3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D17FB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A7E7CB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8362F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Building an Email List:</w:t>
            </w:r>
          </w:p>
        </w:tc>
        <w:tc>
          <w:tcPr>
            <w:tcW w:w="6762" w:type="dxa"/>
            <w:tcBorders>
              <w:top w:val="nil"/>
              <w:left w:val="nil"/>
              <w:bottom w:val="single" w:sz="4" w:space="0" w:color="auto"/>
              <w:right w:val="single" w:sz="4" w:space="0" w:color="auto"/>
            </w:tcBorders>
            <w:shd w:val="clear" w:color="auto" w:fill="auto"/>
            <w:hideMark/>
          </w:tcPr>
          <w:p w14:paraId="287808C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FF48CF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7A8F3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71D81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05E65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7636BA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Begin by building a robust email list of subscribers who have expressed interest in your project or related topics. Utilize various channels such as your project website, social media profiles, and networking events to capture email addresses from individuals who are likely to be interested in supporting your campaign.</w:t>
            </w:r>
          </w:p>
        </w:tc>
        <w:tc>
          <w:tcPr>
            <w:tcW w:w="2566" w:type="dxa"/>
            <w:tcBorders>
              <w:top w:val="nil"/>
              <w:left w:val="nil"/>
              <w:bottom w:val="single" w:sz="4" w:space="0" w:color="auto"/>
              <w:right w:val="single" w:sz="4" w:space="0" w:color="auto"/>
            </w:tcBorders>
            <w:shd w:val="clear" w:color="auto" w:fill="auto"/>
            <w:hideMark/>
          </w:tcPr>
          <w:p w14:paraId="5C2654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8C4E8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9D3F4E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676BA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198E94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incentives or rewards, such as exclusive content, early access to campaign updates, or special discounts, to encourage visitors to subscribe to your email list. Clearly communicate the value proposition of joining your email list and how subscribers will benefit from receiving regular updates.</w:t>
            </w:r>
          </w:p>
        </w:tc>
        <w:tc>
          <w:tcPr>
            <w:tcW w:w="2566" w:type="dxa"/>
            <w:tcBorders>
              <w:top w:val="nil"/>
              <w:left w:val="nil"/>
              <w:bottom w:val="single" w:sz="4" w:space="0" w:color="auto"/>
              <w:right w:val="single" w:sz="4" w:space="0" w:color="auto"/>
            </w:tcBorders>
            <w:shd w:val="clear" w:color="auto" w:fill="auto"/>
            <w:hideMark/>
          </w:tcPr>
          <w:p w14:paraId="723A81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DA5C8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6ADD59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E7799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Segmentation and Personalization:</w:t>
            </w:r>
          </w:p>
        </w:tc>
        <w:tc>
          <w:tcPr>
            <w:tcW w:w="6762" w:type="dxa"/>
            <w:tcBorders>
              <w:top w:val="nil"/>
              <w:left w:val="nil"/>
              <w:bottom w:val="single" w:sz="4" w:space="0" w:color="auto"/>
              <w:right w:val="single" w:sz="4" w:space="0" w:color="auto"/>
            </w:tcBorders>
            <w:shd w:val="clear" w:color="auto" w:fill="auto"/>
            <w:hideMark/>
          </w:tcPr>
          <w:p w14:paraId="4C3156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BD502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2DDA2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51C74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BD447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F869D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 your email list based on factors such as demographics, interests, or previous engagement with your campaign. Tailor your email content and messaging to resonate with the specific preferences and priorities of each segment, increasing the relevance and effectiveness of your communications.</w:t>
            </w:r>
          </w:p>
        </w:tc>
        <w:tc>
          <w:tcPr>
            <w:tcW w:w="2566" w:type="dxa"/>
            <w:tcBorders>
              <w:top w:val="nil"/>
              <w:left w:val="nil"/>
              <w:bottom w:val="single" w:sz="4" w:space="0" w:color="auto"/>
              <w:right w:val="single" w:sz="4" w:space="0" w:color="auto"/>
            </w:tcBorders>
            <w:shd w:val="clear" w:color="auto" w:fill="auto"/>
            <w:hideMark/>
          </w:tcPr>
          <w:p w14:paraId="67002F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65A6F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3176D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C5259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406A4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Personalize your email communications by addressing subscribers by their name and incorporating dynamic content and recommendations based on their past interactions with your campaign. Use data-driven insights to deliver targeted content that is highly relevant and engaging to each recipient.</w:t>
            </w:r>
          </w:p>
        </w:tc>
        <w:tc>
          <w:tcPr>
            <w:tcW w:w="2566" w:type="dxa"/>
            <w:tcBorders>
              <w:top w:val="nil"/>
              <w:left w:val="nil"/>
              <w:bottom w:val="single" w:sz="4" w:space="0" w:color="auto"/>
              <w:right w:val="single" w:sz="4" w:space="0" w:color="auto"/>
            </w:tcBorders>
            <w:shd w:val="clear" w:color="auto" w:fill="auto"/>
            <w:hideMark/>
          </w:tcPr>
          <w:p w14:paraId="5438E2E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56542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7C30C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C5474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Email Content and Messaging:</w:t>
            </w:r>
          </w:p>
        </w:tc>
        <w:tc>
          <w:tcPr>
            <w:tcW w:w="6762" w:type="dxa"/>
            <w:tcBorders>
              <w:top w:val="nil"/>
              <w:left w:val="nil"/>
              <w:bottom w:val="single" w:sz="4" w:space="0" w:color="auto"/>
              <w:right w:val="single" w:sz="4" w:space="0" w:color="auto"/>
            </w:tcBorders>
            <w:shd w:val="clear" w:color="auto" w:fill="auto"/>
            <w:hideMark/>
          </w:tcPr>
          <w:p w14:paraId="4B4B4DC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2F371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9A9E2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AE64F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94298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0B283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Craft compelling email content that captures attention, conveys key messages, and drives action. Keep your email copy concise, informative, and visually appealing, using a clear and engaging subject line to entice recipients to open the email.</w:t>
            </w:r>
          </w:p>
        </w:tc>
        <w:tc>
          <w:tcPr>
            <w:tcW w:w="2566" w:type="dxa"/>
            <w:tcBorders>
              <w:top w:val="nil"/>
              <w:left w:val="nil"/>
              <w:bottom w:val="single" w:sz="4" w:space="0" w:color="auto"/>
              <w:right w:val="single" w:sz="4" w:space="0" w:color="auto"/>
            </w:tcBorders>
            <w:shd w:val="clear" w:color="auto" w:fill="auto"/>
            <w:hideMark/>
          </w:tcPr>
          <w:p w14:paraId="2A12BA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F3DB8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5B1CF2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65D41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A86D2B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valuable and relevant information in your emails, such as campaign updates, milestones, success stories, and exclusive behind-the-scenes insights. Incorporate multimedia elements such as images, videos, and infographics to enhance the visual appeal and engagement of your emails.</w:t>
            </w:r>
          </w:p>
        </w:tc>
        <w:tc>
          <w:tcPr>
            <w:tcW w:w="2566" w:type="dxa"/>
            <w:tcBorders>
              <w:top w:val="nil"/>
              <w:left w:val="nil"/>
              <w:bottom w:val="single" w:sz="4" w:space="0" w:color="auto"/>
              <w:right w:val="single" w:sz="4" w:space="0" w:color="auto"/>
            </w:tcBorders>
            <w:shd w:val="clear" w:color="auto" w:fill="auto"/>
            <w:hideMark/>
          </w:tcPr>
          <w:p w14:paraId="514EBEA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739FB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A3A07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45BA8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Frequency and Timing:</w:t>
            </w:r>
          </w:p>
        </w:tc>
        <w:tc>
          <w:tcPr>
            <w:tcW w:w="6762" w:type="dxa"/>
            <w:tcBorders>
              <w:top w:val="nil"/>
              <w:left w:val="nil"/>
              <w:bottom w:val="single" w:sz="4" w:space="0" w:color="auto"/>
              <w:right w:val="single" w:sz="4" w:space="0" w:color="auto"/>
            </w:tcBorders>
            <w:shd w:val="clear" w:color="auto" w:fill="auto"/>
            <w:hideMark/>
          </w:tcPr>
          <w:p w14:paraId="011109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5AD4D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7A620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2C2D01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B6853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322181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Strike the right balance between staying top-of-mind with your subscribers and avoiding email fatigue by carefully managing the frequency and timing of your email communications. Send regular updates and newsletters to keep subscribers informed, but avoid overwhelming them with excessive or irrelevant emails.</w:t>
            </w:r>
          </w:p>
        </w:tc>
        <w:tc>
          <w:tcPr>
            <w:tcW w:w="2566" w:type="dxa"/>
            <w:tcBorders>
              <w:top w:val="nil"/>
              <w:left w:val="nil"/>
              <w:bottom w:val="single" w:sz="4" w:space="0" w:color="auto"/>
              <w:right w:val="single" w:sz="4" w:space="0" w:color="auto"/>
            </w:tcBorders>
            <w:shd w:val="clear" w:color="auto" w:fill="auto"/>
            <w:hideMark/>
          </w:tcPr>
          <w:p w14:paraId="2E0283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3F87C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F0F21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97243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5585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 email engagement metrics such as open rates, click-through rates, and unsubscribe rates to gauge the effectiveness of your email campaigns and adjust the frequency and timing as needed. Experiment with different sending schedules and analyze the impact on engagement metrics to optimize your email marketing strategy.</w:t>
            </w:r>
          </w:p>
        </w:tc>
        <w:tc>
          <w:tcPr>
            <w:tcW w:w="2566" w:type="dxa"/>
            <w:tcBorders>
              <w:top w:val="nil"/>
              <w:left w:val="nil"/>
              <w:bottom w:val="single" w:sz="4" w:space="0" w:color="auto"/>
              <w:right w:val="single" w:sz="4" w:space="0" w:color="auto"/>
            </w:tcBorders>
            <w:shd w:val="clear" w:color="auto" w:fill="auto"/>
            <w:hideMark/>
          </w:tcPr>
          <w:p w14:paraId="5AF28E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17174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E4879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6E6F3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Compliance and Consent:</w:t>
            </w:r>
          </w:p>
        </w:tc>
        <w:tc>
          <w:tcPr>
            <w:tcW w:w="6762" w:type="dxa"/>
            <w:tcBorders>
              <w:top w:val="nil"/>
              <w:left w:val="nil"/>
              <w:bottom w:val="single" w:sz="4" w:space="0" w:color="auto"/>
              <w:right w:val="single" w:sz="4" w:space="0" w:color="auto"/>
            </w:tcBorders>
            <w:shd w:val="clear" w:color="auto" w:fill="auto"/>
            <w:hideMark/>
          </w:tcPr>
          <w:p w14:paraId="40ACD86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1F708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8F9B0B"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9E49F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C3735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2C399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compliance with email marketing regulations such as the CAN-SPAM Act by providing clear and conspicuous unsubscribe links in every email and honoring unsubscribe requests promptly. Respect subscribers' privacy preferences and obtain explicit consent before adding them to your email list or sending them marketing communications.</w:t>
            </w:r>
          </w:p>
        </w:tc>
        <w:tc>
          <w:tcPr>
            <w:tcW w:w="2566" w:type="dxa"/>
            <w:tcBorders>
              <w:top w:val="nil"/>
              <w:left w:val="nil"/>
              <w:bottom w:val="single" w:sz="4" w:space="0" w:color="auto"/>
              <w:right w:val="single" w:sz="4" w:space="0" w:color="auto"/>
            </w:tcBorders>
            <w:shd w:val="clear" w:color="auto" w:fill="auto"/>
            <w:hideMark/>
          </w:tcPr>
          <w:p w14:paraId="0EAAAB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FC10A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43BCE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6C5A1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C7DF7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Regularly review and update your email list to remove inactive or disengaged subscribers, ensuring that your email communications reach a relevant and receptive audience. Implement a double opt-in process to confirm subscribers' consent and prevent spam complaints or deliverability issues.</w:t>
            </w:r>
          </w:p>
        </w:tc>
        <w:tc>
          <w:tcPr>
            <w:tcW w:w="2566" w:type="dxa"/>
            <w:tcBorders>
              <w:top w:val="nil"/>
              <w:left w:val="nil"/>
              <w:bottom w:val="single" w:sz="4" w:space="0" w:color="auto"/>
              <w:right w:val="single" w:sz="4" w:space="0" w:color="auto"/>
            </w:tcBorders>
            <w:shd w:val="clear" w:color="auto" w:fill="auto"/>
            <w:hideMark/>
          </w:tcPr>
          <w:p w14:paraId="26D3E4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EEBEB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6172A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C4C44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74AA1E8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D62C3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3101E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216BE0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850D0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45284E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these strategies for email marketing as part of your overall outreach tactics, you can effectively engage with potential backers and stakeholders, nurture relationships with your audience, and drive meaningful action to support your crowdfunding campaign.</w:t>
            </w:r>
          </w:p>
        </w:tc>
        <w:tc>
          <w:tcPr>
            <w:tcW w:w="2566" w:type="dxa"/>
            <w:tcBorders>
              <w:top w:val="nil"/>
              <w:left w:val="nil"/>
              <w:bottom w:val="single" w:sz="4" w:space="0" w:color="auto"/>
              <w:right w:val="single" w:sz="4" w:space="0" w:color="auto"/>
            </w:tcBorders>
            <w:shd w:val="clear" w:color="auto" w:fill="auto"/>
            <w:hideMark/>
          </w:tcPr>
          <w:p w14:paraId="4CC0D82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EF319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C2385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C8B6F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1F015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8211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C5633F" w14:textId="77777777" w:rsidTr="0041317E">
        <w:trPr>
          <w:trHeight w:val="5184"/>
        </w:trPr>
        <w:tc>
          <w:tcPr>
            <w:tcW w:w="1349" w:type="dxa"/>
            <w:tcBorders>
              <w:top w:val="nil"/>
              <w:left w:val="single" w:sz="4" w:space="0" w:color="auto"/>
              <w:bottom w:val="single" w:sz="4" w:space="0" w:color="auto"/>
              <w:right w:val="single" w:sz="4" w:space="0" w:color="auto"/>
            </w:tcBorders>
            <w:shd w:val="clear" w:color="auto" w:fill="auto"/>
            <w:hideMark/>
          </w:tcPr>
          <w:p w14:paraId="1F4D3A1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70BADAA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 Community Engagement: </w:t>
            </w:r>
          </w:p>
        </w:tc>
        <w:tc>
          <w:tcPr>
            <w:tcW w:w="6762" w:type="dxa"/>
            <w:tcBorders>
              <w:top w:val="nil"/>
              <w:left w:val="nil"/>
              <w:bottom w:val="single" w:sz="4" w:space="0" w:color="auto"/>
              <w:right w:val="single" w:sz="4" w:space="0" w:color="auto"/>
            </w:tcBorders>
            <w:shd w:val="clear" w:color="auto" w:fill="auto"/>
            <w:hideMark/>
          </w:tcPr>
          <w:p w14:paraId="4B62FF0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Participate in relevant online communities, forums, and discussion groups where potential backers gather to discuss topics related to mathematics, science, technology, or crowdfunding. Contribute value-added content, answer questions, and build relationships with community members to gain trust and support for the campaign.</w:t>
            </w:r>
          </w:p>
        </w:tc>
        <w:tc>
          <w:tcPr>
            <w:tcW w:w="2566" w:type="dxa"/>
            <w:tcBorders>
              <w:top w:val="nil"/>
              <w:left w:val="nil"/>
              <w:bottom w:val="single" w:sz="4" w:space="0" w:color="auto"/>
              <w:right w:val="single" w:sz="4" w:space="0" w:color="auto"/>
            </w:tcBorders>
            <w:shd w:val="clear" w:color="auto" w:fill="auto"/>
            <w:hideMark/>
          </w:tcPr>
          <w:p w14:paraId="2FDE78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School science and math department postings.  Create a pyramid of advertising to campuses, advertising to businesses, advertising to possible enthusiasts.  Create a prime tier of awareness and support those that spread knowledge of primes and increase their user base.  Each user is only able to add an unlimited number of fellow members under them and so fourth.  To join the primebookone one must be invited by an existing user member.</w:t>
            </w:r>
          </w:p>
        </w:tc>
      </w:tr>
      <w:tr w:rsidR="0041317E" w:rsidRPr="0041317E" w14:paraId="6DEFF05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37D1D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DA4D1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CC730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Engaging with online communities and forums is an excellent outreach tactic to connect with potential backers and stakeholders who are interested in topics related to mathematics, science, technology, or crowdfunding. Let's explore how to implement this strategy in extreme detail:</w:t>
            </w:r>
          </w:p>
        </w:tc>
        <w:tc>
          <w:tcPr>
            <w:tcW w:w="2566" w:type="dxa"/>
            <w:tcBorders>
              <w:top w:val="nil"/>
              <w:left w:val="nil"/>
              <w:bottom w:val="single" w:sz="4" w:space="0" w:color="auto"/>
              <w:right w:val="single" w:sz="4" w:space="0" w:color="auto"/>
            </w:tcBorders>
            <w:shd w:val="clear" w:color="auto" w:fill="auto"/>
            <w:hideMark/>
          </w:tcPr>
          <w:p w14:paraId="046691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F0936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8E521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3F9C4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Identify Relevant Communities:</w:t>
            </w:r>
          </w:p>
        </w:tc>
        <w:tc>
          <w:tcPr>
            <w:tcW w:w="6762" w:type="dxa"/>
            <w:tcBorders>
              <w:top w:val="nil"/>
              <w:left w:val="nil"/>
              <w:bottom w:val="single" w:sz="4" w:space="0" w:color="auto"/>
              <w:right w:val="single" w:sz="4" w:space="0" w:color="auto"/>
            </w:tcBorders>
            <w:shd w:val="clear" w:color="auto" w:fill="auto"/>
            <w:hideMark/>
          </w:tcPr>
          <w:p w14:paraId="185B0F2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8624B5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5DA31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153D8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96E0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3F986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Begin by researching and identifying online communities, forums, and discussion groups where your target audience congregates. Look for platforms such as Reddit, Stack Exchange, Quora, specialized forums, and social media groups dedicated to topics like mathematics, science, technology, and crowdfunding.</w:t>
            </w:r>
          </w:p>
        </w:tc>
        <w:tc>
          <w:tcPr>
            <w:tcW w:w="2566" w:type="dxa"/>
            <w:tcBorders>
              <w:top w:val="nil"/>
              <w:left w:val="nil"/>
              <w:bottom w:val="single" w:sz="4" w:space="0" w:color="auto"/>
              <w:right w:val="single" w:sz="4" w:space="0" w:color="auto"/>
            </w:tcBorders>
            <w:shd w:val="clear" w:color="auto" w:fill="auto"/>
            <w:hideMark/>
          </w:tcPr>
          <w:p w14:paraId="25C652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1A679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7467B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0473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DA1C1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niche communities and forums that focus specifically on prime numbers, cryptography, computer science, or related fields where your project is likely to generate interest and discussion.</w:t>
            </w:r>
          </w:p>
        </w:tc>
        <w:tc>
          <w:tcPr>
            <w:tcW w:w="2566" w:type="dxa"/>
            <w:tcBorders>
              <w:top w:val="nil"/>
              <w:left w:val="nil"/>
              <w:bottom w:val="single" w:sz="4" w:space="0" w:color="auto"/>
              <w:right w:val="single" w:sz="4" w:space="0" w:color="auto"/>
            </w:tcBorders>
            <w:shd w:val="clear" w:color="auto" w:fill="auto"/>
            <w:hideMark/>
          </w:tcPr>
          <w:p w14:paraId="517387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3C348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805FFA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2D68A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Participate and Contribute Value:</w:t>
            </w:r>
          </w:p>
        </w:tc>
        <w:tc>
          <w:tcPr>
            <w:tcW w:w="6762" w:type="dxa"/>
            <w:tcBorders>
              <w:top w:val="nil"/>
              <w:left w:val="nil"/>
              <w:bottom w:val="single" w:sz="4" w:space="0" w:color="auto"/>
              <w:right w:val="single" w:sz="4" w:space="0" w:color="auto"/>
            </w:tcBorders>
            <w:shd w:val="clear" w:color="auto" w:fill="auto"/>
            <w:hideMark/>
          </w:tcPr>
          <w:p w14:paraId="0E15D23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62DB3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2A7C4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AB8CB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725B9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4309C6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Once you've identified relevant communities, actively participate and contribute valuable content to establish yourself as a knowledgeable and trusted member of the community. Share insights, answer questions, and provide helpful resources or advice related to prime numbers, mathematical research, or crowdfunding.</w:t>
            </w:r>
          </w:p>
        </w:tc>
        <w:tc>
          <w:tcPr>
            <w:tcW w:w="2566" w:type="dxa"/>
            <w:tcBorders>
              <w:top w:val="nil"/>
              <w:left w:val="nil"/>
              <w:bottom w:val="single" w:sz="4" w:space="0" w:color="auto"/>
              <w:right w:val="single" w:sz="4" w:space="0" w:color="auto"/>
            </w:tcBorders>
            <w:shd w:val="clear" w:color="auto" w:fill="auto"/>
            <w:hideMark/>
          </w:tcPr>
          <w:p w14:paraId="27EDE3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50E63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4EF4E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ADA96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0493D2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Avoid overly promotional or self-serving behavior. Instead, focus on adding genuine value to discussions and building meaningful relationships with other community members. Earn their trust and respect by demonstrating your expertise and willingness to contribute to the community's collective knowledge.</w:t>
            </w:r>
          </w:p>
        </w:tc>
        <w:tc>
          <w:tcPr>
            <w:tcW w:w="2566" w:type="dxa"/>
            <w:tcBorders>
              <w:top w:val="nil"/>
              <w:left w:val="nil"/>
              <w:bottom w:val="single" w:sz="4" w:space="0" w:color="auto"/>
              <w:right w:val="single" w:sz="4" w:space="0" w:color="auto"/>
            </w:tcBorders>
            <w:shd w:val="clear" w:color="auto" w:fill="auto"/>
            <w:hideMark/>
          </w:tcPr>
          <w:p w14:paraId="04BB95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71FB2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99BA5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2B754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Build Relationships and Trust:</w:t>
            </w:r>
          </w:p>
        </w:tc>
        <w:tc>
          <w:tcPr>
            <w:tcW w:w="6762" w:type="dxa"/>
            <w:tcBorders>
              <w:top w:val="nil"/>
              <w:left w:val="nil"/>
              <w:bottom w:val="single" w:sz="4" w:space="0" w:color="auto"/>
              <w:right w:val="single" w:sz="4" w:space="0" w:color="auto"/>
            </w:tcBorders>
            <w:shd w:val="clear" w:color="auto" w:fill="auto"/>
            <w:hideMark/>
          </w:tcPr>
          <w:p w14:paraId="753E26B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C5F13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D729A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DBDDC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BFA9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D1DA8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Invest time in building relationships with community members by engaging in conversations, responding to comments and messages, and expressing genuine interest in their interests and concerns. Show empathy, appreciation, and respect for diverse perspectives within the community.</w:t>
            </w:r>
          </w:p>
        </w:tc>
        <w:tc>
          <w:tcPr>
            <w:tcW w:w="2566" w:type="dxa"/>
            <w:tcBorders>
              <w:top w:val="nil"/>
              <w:left w:val="nil"/>
              <w:bottom w:val="single" w:sz="4" w:space="0" w:color="auto"/>
              <w:right w:val="single" w:sz="4" w:space="0" w:color="auto"/>
            </w:tcBorders>
            <w:shd w:val="clear" w:color="auto" w:fill="auto"/>
            <w:hideMark/>
          </w:tcPr>
          <w:p w14:paraId="13B899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3A580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866D5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27A7C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5D2A9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 transparent and authentic in your interactions, openly sharing information about your project and its objectives without resorting to aggressive or deceptive marketing tactics. Build trust through integrity, honesty, and consistent communication.</w:t>
            </w:r>
          </w:p>
        </w:tc>
        <w:tc>
          <w:tcPr>
            <w:tcW w:w="2566" w:type="dxa"/>
            <w:tcBorders>
              <w:top w:val="nil"/>
              <w:left w:val="nil"/>
              <w:bottom w:val="single" w:sz="4" w:space="0" w:color="auto"/>
              <w:right w:val="single" w:sz="4" w:space="0" w:color="auto"/>
            </w:tcBorders>
            <w:shd w:val="clear" w:color="auto" w:fill="auto"/>
            <w:hideMark/>
          </w:tcPr>
          <w:p w14:paraId="693758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3311A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84F9B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0C3AC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Share Campaign Updates and Progress:</w:t>
            </w:r>
          </w:p>
        </w:tc>
        <w:tc>
          <w:tcPr>
            <w:tcW w:w="6762" w:type="dxa"/>
            <w:tcBorders>
              <w:top w:val="nil"/>
              <w:left w:val="nil"/>
              <w:bottom w:val="single" w:sz="4" w:space="0" w:color="auto"/>
              <w:right w:val="single" w:sz="4" w:space="0" w:color="auto"/>
            </w:tcBorders>
            <w:shd w:val="clear" w:color="auto" w:fill="auto"/>
            <w:hideMark/>
          </w:tcPr>
          <w:p w14:paraId="4D3721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70B5E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43D2A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43936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EC5F2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0B642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your presence in online communities to share updates and progress about your crowdfunding campaign in a non-intrusive and contextually relevant manner. Share milestones, achievements, and success stories related to your project to keep community members informed and engaged.</w:t>
            </w:r>
          </w:p>
        </w:tc>
        <w:tc>
          <w:tcPr>
            <w:tcW w:w="2566" w:type="dxa"/>
            <w:tcBorders>
              <w:top w:val="nil"/>
              <w:left w:val="nil"/>
              <w:bottom w:val="single" w:sz="4" w:space="0" w:color="auto"/>
              <w:right w:val="single" w:sz="4" w:space="0" w:color="auto"/>
            </w:tcBorders>
            <w:shd w:val="clear" w:color="auto" w:fill="auto"/>
            <w:hideMark/>
          </w:tcPr>
          <w:p w14:paraId="040D6E0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BB053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EF5E4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3F8E6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47E40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Avoid spamming or overposting in community forums. Instead, focus on sharing meaningful and relevant updates that provide value to the community and contribute to ongoing discussions.</w:t>
            </w:r>
          </w:p>
        </w:tc>
        <w:tc>
          <w:tcPr>
            <w:tcW w:w="2566" w:type="dxa"/>
            <w:tcBorders>
              <w:top w:val="nil"/>
              <w:left w:val="nil"/>
              <w:bottom w:val="single" w:sz="4" w:space="0" w:color="auto"/>
              <w:right w:val="single" w:sz="4" w:space="0" w:color="auto"/>
            </w:tcBorders>
            <w:shd w:val="clear" w:color="auto" w:fill="auto"/>
            <w:hideMark/>
          </w:tcPr>
          <w:p w14:paraId="7802F6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9ECE8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C380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2645F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Recruit Supporters and Advocates:</w:t>
            </w:r>
          </w:p>
        </w:tc>
        <w:tc>
          <w:tcPr>
            <w:tcW w:w="6762" w:type="dxa"/>
            <w:tcBorders>
              <w:top w:val="nil"/>
              <w:left w:val="nil"/>
              <w:bottom w:val="single" w:sz="4" w:space="0" w:color="auto"/>
              <w:right w:val="single" w:sz="4" w:space="0" w:color="auto"/>
            </w:tcBorders>
            <w:shd w:val="clear" w:color="auto" w:fill="auto"/>
            <w:hideMark/>
          </w:tcPr>
          <w:p w14:paraId="5F579BF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06BD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7726B8"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764E9A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648DC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9EDB2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Identify enthusiastic supporters and advocates within online communities who are passionate about your project and willing to help spread the word. Encourage them to become ambassadors for your campaign, sharing information about it with their networks and encouraging others to get involved.</w:t>
            </w:r>
          </w:p>
        </w:tc>
        <w:tc>
          <w:tcPr>
            <w:tcW w:w="2566" w:type="dxa"/>
            <w:tcBorders>
              <w:top w:val="nil"/>
              <w:left w:val="nil"/>
              <w:bottom w:val="single" w:sz="4" w:space="0" w:color="auto"/>
              <w:right w:val="single" w:sz="4" w:space="0" w:color="auto"/>
            </w:tcBorders>
            <w:shd w:val="clear" w:color="auto" w:fill="auto"/>
            <w:hideMark/>
          </w:tcPr>
          <w:p w14:paraId="7249A6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04598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C15158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E75D6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F6A98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incentives or rewards for community members who actively promote your campaign, such as exclusive perks, recognition, or opportunities to participate in project-related activities or events.</w:t>
            </w:r>
          </w:p>
        </w:tc>
        <w:tc>
          <w:tcPr>
            <w:tcW w:w="2566" w:type="dxa"/>
            <w:tcBorders>
              <w:top w:val="nil"/>
              <w:left w:val="nil"/>
              <w:bottom w:val="single" w:sz="4" w:space="0" w:color="auto"/>
              <w:right w:val="single" w:sz="4" w:space="0" w:color="auto"/>
            </w:tcBorders>
            <w:shd w:val="clear" w:color="auto" w:fill="auto"/>
            <w:hideMark/>
          </w:tcPr>
          <w:p w14:paraId="56D1B4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3CB85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FEC2B6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4AA6B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Monitor and Adapt:</w:t>
            </w:r>
          </w:p>
        </w:tc>
        <w:tc>
          <w:tcPr>
            <w:tcW w:w="6762" w:type="dxa"/>
            <w:tcBorders>
              <w:top w:val="nil"/>
              <w:left w:val="nil"/>
              <w:bottom w:val="single" w:sz="4" w:space="0" w:color="auto"/>
              <w:right w:val="single" w:sz="4" w:space="0" w:color="auto"/>
            </w:tcBorders>
            <w:shd w:val="clear" w:color="auto" w:fill="auto"/>
            <w:hideMark/>
          </w:tcPr>
          <w:p w14:paraId="54EAF4E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C218C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E1582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57806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A0CE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165F5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Continuously monitor the response and engagement from online communities to your outreach efforts. Track metrics such as engagement levels, referral traffic, and conversions to assess the effectiveness of your community engagement strategy.</w:t>
            </w:r>
          </w:p>
        </w:tc>
        <w:tc>
          <w:tcPr>
            <w:tcW w:w="2566" w:type="dxa"/>
            <w:tcBorders>
              <w:top w:val="nil"/>
              <w:left w:val="nil"/>
              <w:bottom w:val="single" w:sz="4" w:space="0" w:color="auto"/>
              <w:right w:val="single" w:sz="4" w:space="0" w:color="auto"/>
            </w:tcBorders>
            <w:shd w:val="clear" w:color="auto" w:fill="auto"/>
            <w:hideMark/>
          </w:tcPr>
          <w:p w14:paraId="3153AB5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CCF7F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D000D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04D57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7D7F9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Adapt your approach based on feedback and insights gathered from community interactions. Experiment with different messaging, tactics, and platforms to optimize your outreach efforts and maximize your impact within online communities.</w:t>
            </w:r>
          </w:p>
        </w:tc>
        <w:tc>
          <w:tcPr>
            <w:tcW w:w="2566" w:type="dxa"/>
            <w:tcBorders>
              <w:top w:val="nil"/>
              <w:left w:val="nil"/>
              <w:bottom w:val="single" w:sz="4" w:space="0" w:color="auto"/>
              <w:right w:val="single" w:sz="4" w:space="0" w:color="auto"/>
            </w:tcBorders>
            <w:shd w:val="clear" w:color="auto" w:fill="auto"/>
            <w:hideMark/>
          </w:tcPr>
          <w:p w14:paraId="53954D8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FB3EF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F5154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2D7FB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328ACA7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these strategies for community engagement as part of your overall outreach tactics, you can effectively connect with potential backers and stakeholders, build awareness and support for your crowdfunding campaign, and foster meaningful relationships within relevant online communities.</w:t>
            </w:r>
          </w:p>
        </w:tc>
        <w:tc>
          <w:tcPr>
            <w:tcW w:w="2566" w:type="dxa"/>
            <w:tcBorders>
              <w:top w:val="nil"/>
              <w:left w:val="nil"/>
              <w:bottom w:val="single" w:sz="4" w:space="0" w:color="auto"/>
              <w:right w:val="single" w:sz="4" w:space="0" w:color="auto"/>
            </w:tcBorders>
            <w:shd w:val="clear" w:color="auto" w:fill="auto"/>
            <w:hideMark/>
          </w:tcPr>
          <w:p w14:paraId="1185BE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4CA9B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BAAE5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4042B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A4C6FF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17089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FC5D3B" w14:textId="77777777" w:rsidTr="0041317E">
        <w:trPr>
          <w:trHeight w:val="2304"/>
        </w:trPr>
        <w:tc>
          <w:tcPr>
            <w:tcW w:w="1349" w:type="dxa"/>
            <w:tcBorders>
              <w:top w:val="nil"/>
              <w:left w:val="single" w:sz="4" w:space="0" w:color="auto"/>
              <w:bottom w:val="single" w:sz="4" w:space="0" w:color="auto"/>
              <w:right w:val="single" w:sz="4" w:space="0" w:color="auto"/>
            </w:tcBorders>
            <w:shd w:val="clear" w:color="auto" w:fill="auto"/>
            <w:hideMark/>
          </w:tcPr>
          <w:p w14:paraId="3917CE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614CDE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d. Press and Media Outreach: </w:t>
            </w:r>
          </w:p>
        </w:tc>
        <w:tc>
          <w:tcPr>
            <w:tcW w:w="6762" w:type="dxa"/>
            <w:tcBorders>
              <w:top w:val="nil"/>
              <w:left w:val="nil"/>
              <w:bottom w:val="single" w:sz="4" w:space="0" w:color="auto"/>
              <w:right w:val="single" w:sz="4" w:space="0" w:color="auto"/>
            </w:tcBorders>
            <w:shd w:val="clear" w:color="auto" w:fill="auto"/>
            <w:hideMark/>
          </w:tcPr>
          <w:p w14:paraId="5CF9F16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Reach out to journalists, bloggers, podcasters, and other media professionals covering topics relevant to the project. Pitch story ideas, offer exclusive interviews or guest posts, and provide press kits and press releases to generate media coverage and raise awareness of the campaign.</w:t>
            </w:r>
          </w:p>
        </w:tc>
        <w:tc>
          <w:tcPr>
            <w:tcW w:w="2566" w:type="dxa"/>
            <w:tcBorders>
              <w:top w:val="nil"/>
              <w:left w:val="nil"/>
              <w:bottom w:val="single" w:sz="4" w:space="0" w:color="auto"/>
              <w:right w:val="single" w:sz="4" w:space="0" w:color="auto"/>
            </w:tcBorders>
            <w:shd w:val="clear" w:color="auto" w:fill="auto"/>
            <w:hideMark/>
          </w:tcPr>
          <w:p w14:paraId="7BAF52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Create Podcast show on Blogtalk radio "The Prime Minister" and outlay everything in the Prime Diligence Guide.  Have AI read it all through once long episode.  Then discuss parts of interest each week.</w:t>
            </w:r>
          </w:p>
        </w:tc>
      </w:tr>
      <w:tr w:rsidR="0041317E" w:rsidRPr="0041317E" w14:paraId="5AAA14C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F914F6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A06B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38A25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Engaging with press and media professionals is a crucial outreach tactic to amplify the visibility of your crowdfunding campaign and reach a broader audience. Let's delve into how to implement this strategy in extreme detail:</w:t>
            </w:r>
          </w:p>
        </w:tc>
        <w:tc>
          <w:tcPr>
            <w:tcW w:w="2566" w:type="dxa"/>
            <w:tcBorders>
              <w:top w:val="nil"/>
              <w:left w:val="nil"/>
              <w:bottom w:val="single" w:sz="4" w:space="0" w:color="auto"/>
              <w:right w:val="single" w:sz="4" w:space="0" w:color="auto"/>
            </w:tcBorders>
            <w:shd w:val="clear" w:color="auto" w:fill="auto"/>
            <w:hideMark/>
          </w:tcPr>
          <w:p w14:paraId="0CBA1AF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25C74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9EC115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6180B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Research Relevant Media Outlets:</w:t>
            </w:r>
          </w:p>
        </w:tc>
        <w:tc>
          <w:tcPr>
            <w:tcW w:w="6762" w:type="dxa"/>
            <w:tcBorders>
              <w:top w:val="nil"/>
              <w:left w:val="nil"/>
              <w:bottom w:val="single" w:sz="4" w:space="0" w:color="auto"/>
              <w:right w:val="single" w:sz="4" w:space="0" w:color="auto"/>
            </w:tcBorders>
            <w:shd w:val="clear" w:color="auto" w:fill="auto"/>
            <w:hideMark/>
          </w:tcPr>
          <w:p w14:paraId="37946F2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47846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E9C9EC"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55BEB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5B0B0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C1C2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Begin by researching and compiling a list of media outlets, journalists, bloggers, podcasters, and influencers who cover topics related to mathematics, science, technology, crowdfunding, or prime numbers. Look for reputable publications, podcasts, and online platforms with audiences that align with your target demographic.</w:t>
            </w:r>
          </w:p>
        </w:tc>
        <w:tc>
          <w:tcPr>
            <w:tcW w:w="2566" w:type="dxa"/>
            <w:tcBorders>
              <w:top w:val="nil"/>
              <w:left w:val="nil"/>
              <w:bottom w:val="single" w:sz="4" w:space="0" w:color="auto"/>
              <w:right w:val="single" w:sz="4" w:space="0" w:color="auto"/>
            </w:tcBorders>
            <w:shd w:val="clear" w:color="auto" w:fill="auto"/>
            <w:hideMark/>
          </w:tcPr>
          <w:p w14:paraId="393EA91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A9B72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AF432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35170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C2247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both mainstream media outlets and niche publications or podcasts that cater to specific interests within your target audience.</w:t>
            </w:r>
          </w:p>
        </w:tc>
        <w:tc>
          <w:tcPr>
            <w:tcW w:w="2566" w:type="dxa"/>
            <w:tcBorders>
              <w:top w:val="nil"/>
              <w:left w:val="nil"/>
              <w:bottom w:val="single" w:sz="4" w:space="0" w:color="auto"/>
              <w:right w:val="single" w:sz="4" w:space="0" w:color="auto"/>
            </w:tcBorders>
            <w:shd w:val="clear" w:color="auto" w:fill="auto"/>
            <w:hideMark/>
          </w:tcPr>
          <w:p w14:paraId="02FEB6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B5B44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9E47CE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97C48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Craft Compelling Pitches:</w:t>
            </w:r>
          </w:p>
        </w:tc>
        <w:tc>
          <w:tcPr>
            <w:tcW w:w="6762" w:type="dxa"/>
            <w:tcBorders>
              <w:top w:val="nil"/>
              <w:left w:val="nil"/>
              <w:bottom w:val="single" w:sz="4" w:space="0" w:color="auto"/>
              <w:right w:val="single" w:sz="4" w:space="0" w:color="auto"/>
            </w:tcBorders>
            <w:shd w:val="clear" w:color="auto" w:fill="auto"/>
            <w:hideMark/>
          </w:tcPr>
          <w:p w14:paraId="625B8BB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0B2C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CC60E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5D233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0CC84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6CFFA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tailored pitch materials, including story ideas, press releases, press kits, and personalized emails, to capture the attention of media professionals. Highlight the unique aspects of your crowdfunding campaign, such as its significance in advancing prime number research, its innovative approach, or its potential impact on society.</w:t>
            </w:r>
          </w:p>
        </w:tc>
        <w:tc>
          <w:tcPr>
            <w:tcW w:w="2566" w:type="dxa"/>
            <w:tcBorders>
              <w:top w:val="nil"/>
              <w:left w:val="nil"/>
              <w:bottom w:val="single" w:sz="4" w:space="0" w:color="auto"/>
              <w:right w:val="single" w:sz="4" w:space="0" w:color="auto"/>
            </w:tcBorders>
            <w:shd w:val="clear" w:color="auto" w:fill="auto"/>
            <w:hideMark/>
          </w:tcPr>
          <w:p w14:paraId="7D9951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890F8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4AE35E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5639A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8EF977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Personalize your pitches for each media outlet or journalist, demonstrating your understanding of their beat, audience, and interests. Show why your campaign would be of interest to their readers, listeners, or viewers.</w:t>
            </w:r>
          </w:p>
        </w:tc>
        <w:tc>
          <w:tcPr>
            <w:tcW w:w="2566" w:type="dxa"/>
            <w:tcBorders>
              <w:top w:val="nil"/>
              <w:left w:val="nil"/>
              <w:bottom w:val="single" w:sz="4" w:space="0" w:color="auto"/>
              <w:right w:val="single" w:sz="4" w:space="0" w:color="auto"/>
            </w:tcBorders>
            <w:shd w:val="clear" w:color="auto" w:fill="auto"/>
            <w:hideMark/>
          </w:tcPr>
          <w:p w14:paraId="4A9350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05111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52461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B4374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Offer Exclusive Opportunities:</w:t>
            </w:r>
          </w:p>
        </w:tc>
        <w:tc>
          <w:tcPr>
            <w:tcW w:w="6762" w:type="dxa"/>
            <w:tcBorders>
              <w:top w:val="nil"/>
              <w:left w:val="nil"/>
              <w:bottom w:val="single" w:sz="4" w:space="0" w:color="auto"/>
              <w:right w:val="single" w:sz="4" w:space="0" w:color="auto"/>
            </w:tcBorders>
            <w:shd w:val="clear" w:color="auto" w:fill="auto"/>
            <w:hideMark/>
          </w:tcPr>
          <w:p w14:paraId="0FB9AD6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13D55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7C9A9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26DB5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D93CB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9FB991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media professionals with exclusive opportunities to cover your campaign, such as offering interviews, guest posts, or behind-the-scenes access. Offer them unique insights, perspectives, or content that they can't find elsewhere, incentivizing them to feature your campaign in their coverage.</w:t>
            </w:r>
          </w:p>
        </w:tc>
        <w:tc>
          <w:tcPr>
            <w:tcW w:w="2566" w:type="dxa"/>
            <w:tcBorders>
              <w:top w:val="nil"/>
              <w:left w:val="nil"/>
              <w:bottom w:val="single" w:sz="4" w:space="0" w:color="auto"/>
              <w:right w:val="single" w:sz="4" w:space="0" w:color="auto"/>
            </w:tcBorders>
            <w:shd w:val="clear" w:color="auto" w:fill="auto"/>
            <w:hideMark/>
          </w:tcPr>
          <w:p w14:paraId="242DDCC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582CC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D4243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36BA7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89C4F9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 flexible and accommodating to media requests, offering timely responses to inquiries and providing additional information or resources as needed to support their coverage of your campaign.</w:t>
            </w:r>
          </w:p>
        </w:tc>
        <w:tc>
          <w:tcPr>
            <w:tcW w:w="2566" w:type="dxa"/>
            <w:tcBorders>
              <w:top w:val="nil"/>
              <w:left w:val="nil"/>
              <w:bottom w:val="single" w:sz="4" w:space="0" w:color="auto"/>
              <w:right w:val="single" w:sz="4" w:space="0" w:color="auto"/>
            </w:tcBorders>
            <w:shd w:val="clear" w:color="auto" w:fill="auto"/>
            <w:hideMark/>
          </w:tcPr>
          <w:p w14:paraId="3FA6C81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557D1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DBB584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36E22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Leverage Multimedia Assets:</w:t>
            </w:r>
          </w:p>
        </w:tc>
        <w:tc>
          <w:tcPr>
            <w:tcW w:w="6762" w:type="dxa"/>
            <w:tcBorders>
              <w:top w:val="nil"/>
              <w:left w:val="nil"/>
              <w:bottom w:val="single" w:sz="4" w:space="0" w:color="auto"/>
              <w:right w:val="single" w:sz="4" w:space="0" w:color="auto"/>
            </w:tcBorders>
            <w:shd w:val="clear" w:color="auto" w:fill="auto"/>
            <w:hideMark/>
          </w:tcPr>
          <w:p w14:paraId="0F8DDE4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09474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7ABB0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CAD88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48E4E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F82B37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Enhance your pitches with multimedia assets such as high-quality images, videos, infographics, or data visualizations that help tell the story of your campaign in a visually compelling way. Provide media professionals with access to these assets to enhance their coverage and make it more engaging for their audience.</w:t>
            </w:r>
          </w:p>
        </w:tc>
        <w:tc>
          <w:tcPr>
            <w:tcW w:w="2566" w:type="dxa"/>
            <w:tcBorders>
              <w:top w:val="nil"/>
              <w:left w:val="nil"/>
              <w:bottom w:val="single" w:sz="4" w:space="0" w:color="auto"/>
              <w:right w:val="single" w:sz="4" w:space="0" w:color="auto"/>
            </w:tcBorders>
            <w:shd w:val="clear" w:color="auto" w:fill="auto"/>
            <w:hideMark/>
          </w:tcPr>
          <w:p w14:paraId="542B70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D30F9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C659E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88608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ECE69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creating press kits or media galleries on your campaign website where journalists and bloggers can easily access and download multimedia assets for their coverage.</w:t>
            </w:r>
          </w:p>
        </w:tc>
        <w:tc>
          <w:tcPr>
            <w:tcW w:w="2566" w:type="dxa"/>
            <w:tcBorders>
              <w:top w:val="nil"/>
              <w:left w:val="nil"/>
              <w:bottom w:val="single" w:sz="4" w:space="0" w:color="auto"/>
              <w:right w:val="single" w:sz="4" w:space="0" w:color="auto"/>
            </w:tcBorders>
            <w:shd w:val="clear" w:color="auto" w:fill="auto"/>
            <w:hideMark/>
          </w:tcPr>
          <w:p w14:paraId="665772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661BE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30A42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98259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Cultivate Relationships:</w:t>
            </w:r>
          </w:p>
        </w:tc>
        <w:tc>
          <w:tcPr>
            <w:tcW w:w="6762" w:type="dxa"/>
            <w:tcBorders>
              <w:top w:val="nil"/>
              <w:left w:val="nil"/>
              <w:bottom w:val="single" w:sz="4" w:space="0" w:color="auto"/>
              <w:right w:val="single" w:sz="4" w:space="0" w:color="auto"/>
            </w:tcBorders>
            <w:shd w:val="clear" w:color="auto" w:fill="auto"/>
            <w:hideMark/>
          </w:tcPr>
          <w:p w14:paraId="66E6C26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DBD04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E0406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34846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BFCCB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1CDF5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Invest time and effort in building relationships with media professionals over time, even beyond the duration of your crowdfunding campaign. Stay in touch with journalists, podcasters, and bloggers who cover topics relevant to your project, sharing updates, insights, and future developments that may be of interest to them.</w:t>
            </w:r>
          </w:p>
        </w:tc>
        <w:tc>
          <w:tcPr>
            <w:tcW w:w="2566" w:type="dxa"/>
            <w:tcBorders>
              <w:top w:val="nil"/>
              <w:left w:val="nil"/>
              <w:bottom w:val="single" w:sz="4" w:space="0" w:color="auto"/>
              <w:right w:val="single" w:sz="4" w:space="0" w:color="auto"/>
            </w:tcBorders>
            <w:shd w:val="clear" w:color="auto" w:fill="auto"/>
            <w:hideMark/>
          </w:tcPr>
          <w:p w14:paraId="39B1178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A7CE8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B1294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E200A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33F5A7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Express gratitude for media coverage and acknowledge the contributions of journalists and influencers who help amplify your message. Foster a positive and collaborative relationship with media professionals based on mutual respect and shared interests.</w:t>
            </w:r>
          </w:p>
        </w:tc>
        <w:tc>
          <w:tcPr>
            <w:tcW w:w="2566" w:type="dxa"/>
            <w:tcBorders>
              <w:top w:val="nil"/>
              <w:left w:val="nil"/>
              <w:bottom w:val="single" w:sz="4" w:space="0" w:color="auto"/>
              <w:right w:val="single" w:sz="4" w:space="0" w:color="auto"/>
            </w:tcBorders>
            <w:shd w:val="clear" w:color="auto" w:fill="auto"/>
            <w:hideMark/>
          </w:tcPr>
          <w:p w14:paraId="007E34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4BD4D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4ABB36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0DE33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Monitor Coverage and Engage:</w:t>
            </w:r>
          </w:p>
        </w:tc>
        <w:tc>
          <w:tcPr>
            <w:tcW w:w="6762" w:type="dxa"/>
            <w:tcBorders>
              <w:top w:val="nil"/>
              <w:left w:val="nil"/>
              <w:bottom w:val="single" w:sz="4" w:space="0" w:color="auto"/>
              <w:right w:val="single" w:sz="4" w:space="0" w:color="auto"/>
            </w:tcBorders>
            <w:shd w:val="clear" w:color="auto" w:fill="auto"/>
            <w:hideMark/>
          </w:tcPr>
          <w:p w14:paraId="41D1C3E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544E4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7A087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030BD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E0EF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849F10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 media coverage of your campaign across various outlets, platforms, and channels to track the impact of your press and media outreach efforts. Use media monitoring tools to track mentions, measure reach and engagement, and identify opportunities for follow-up or amplification.</w:t>
            </w:r>
          </w:p>
        </w:tc>
        <w:tc>
          <w:tcPr>
            <w:tcW w:w="2566" w:type="dxa"/>
            <w:tcBorders>
              <w:top w:val="nil"/>
              <w:left w:val="nil"/>
              <w:bottom w:val="single" w:sz="4" w:space="0" w:color="auto"/>
              <w:right w:val="single" w:sz="4" w:space="0" w:color="auto"/>
            </w:tcBorders>
            <w:shd w:val="clear" w:color="auto" w:fill="auto"/>
            <w:hideMark/>
          </w:tcPr>
          <w:p w14:paraId="27AFB9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056E6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3A4558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72567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6BEA1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Engage with media professionals and their audiences by responding to comments, sharing coverage on your own channels, and participating in discussions sparked by media coverage. Show appreciation for positive coverage and address any questions or concerns raised in media coverage.</w:t>
            </w:r>
          </w:p>
        </w:tc>
        <w:tc>
          <w:tcPr>
            <w:tcW w:w="2566" w:type="dxa"/>
            <w:tcBorders>
              <w:top w:val="nil"/>
              <w:left w:val="nil"/>
              <w:bottom w:val="single" w:sz="4" w:space="0" w:color="auto"/>
              <w:right w:val="single" w:sz="4" w:space="0" w:color="auto"/>
            </w:tcBorders>
            <w:shd w:val="clear" w:color="auto" w:fill="auto"/>
            <w:hideMark/>
          </w:tcPr>
          <w:p w14:paraId="41FFA26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C692D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66864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F171A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52A1327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D1AA8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ADC70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6FC750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22AAD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FFF7E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these strategies for press and media outreach as part of your overall outreach tactics, you can effectively generate media coverage, raise awareness of your crowdfunding campaign, and reach a wider audience of potential backers and stakeholders.</w:t>
            </w:r>
          </w:p>
        </w:tc>
        <w:tc>
          <w:tcPr>
            <w:tcW w:w="2566" w:type="dxa"/>
            <w:tcBorders>
              <w:top w:val="nil"/>
              <w:left w:val="nil"/>
              <w:bottom w:val="single" w:sz="4" w:space="0" w:color="auto"/>
              <w:right w:val="single" w:sz="4" w:space="0" w:color="auto"/>
            </w:tcBorders>
            <w:shd w:val="clear" w:color="auto" w:fill="auto"/>
            <w:hideMark/>
          </w:tcPr>
          <w:p w14:paraId="40D558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925B1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CB84B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40DA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0C4BD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6C5D5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74F146" w14:textId="77777777" w:rsidTr="0041317E">
        <w:trPr>
          <w:trHeight w:val="4608"/>
        </w:trPr>
        <w:tc>
          <w:tcPr>
            <w:tcW w:w="1349" w:type="dxa"/>
            <w:tcBorders>
              <w:top w:val="nil"/>
              <w:left w:val="single" w:sz="4" w:space="0" w:color="auto"/>
              <w:bottom w:val="single" w:sz="4" w:space="0" w:color="auto"/>
              <w:right w:val="single" w:sz="4" w:space="0" w:color="auto"/>
            </w:tcBorders>
            <w:shd w:val="clear" w:color="auto" w:fill="auto"/>
            <w:hideMark/>
          </w:tcPr>
          <w:p w14:paraId="4FBDDB6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4196A1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6. Post-Campaign Follow-Up: </w:t>
            </w:r>
          </w:p>
        </w:tc>
        <w:tc>
          <w:tcPr>
            <w:tcW w:w="6762" w:type="dxa"/>
            <w:tcBorders>
              <w:top w:val="nil"/>
              <w:left w:val="nil"/>
              <w:bottom w:val="single" w:sz="4" w:space="0" w:color="auto"/>
              <w:right w:val="single" w:sz="4" w:space="0" w:color="auto"/>
            </w:tcBorders>
            <w:shd w:val="clear" w:color="auto" w:fill="auto"/>
            <w:hideMark/>
          </w:tcPr>
          <w:p w14:paraId="4AC68BC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a plan for post-campaign follow-up to thank backers, fulfill rewards, and communicate updates on the project's progress. Maintain transparency and accountability by providing regular updates on milestones achieved, challenges encountered, and next steps in the project's development. Cultivate ongoing relationships with backers to foster a sense of community and continued support for future endeavors.</w:t>
            </w:r>
          </w:p>
        </w:tc>
        <w:tc>
          <w:tcPr>
            <w:tcW w:w="2566" w:type="dxa"/>
            <w:tcBorders>
              <w:top w:val="nil"/>
              <w:left w:val="nil"/>
              <w:bottom w:val="single" w:sz="4" w:space="0" w:color="auto"/>
              <w:right w:val="single" w:sz="4" w:space="0" w:color="auto"/>
            </w:tcBorders>
            <w:shd w:val="clear" w:color="auto" w:fill="auto"/>
            <w:hideMark/>
          </w:tcPr>
          <w:p w14:paraId="3DEDF2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The campaign is slated to become ongoing and to keep a memory through antikytherian user account for contribution account for either PrimeBookOne and PrimeBookTools.  Primebookone's user account system is only to hold proof-of-find certificates.  All investments can lead to discounts in Antikytherian products and also what the PrimeBookOne committee decides</w:t>
            </w:r>
          </w:p>
        </w:tc>
      </w:tr>
      <w:tr w:rsidR="0041317E" w:rsidRPr="0041317E" w14:paraId="5C71495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D58F5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E05E4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28E361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Developing a comprehensive plan for post-campaign follow-up is essential to maintaining engagement and fostering a sense of community with backers and stakeholders. Let's explore this aspect of campaign planning in extreme detail:</w:t>
            </w:r>
          </w:p>
        </w:tc>
        <w:tc>
          <w:tcPr>
            <w:tcW w:w="2566" w:type="dxa"/>
            <w:tcBorders>
              <w:top w:val="nil"/>
              <w:left w:val="nil"/>
              <w:bottom w:val="single" w:sz="4" w:space="0" w:color="auto"/>
              <w:right w:val="single" w:sz="4" w:space="0" w:color="auto"/>
            </w:tcBorders>
            <w:shd w:val="clear" w:color="auto" w:fill="auto"/>
            <w:hideMark/>
          </w:tcPr>
          <w:p w14:paraId="74BEF2B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7AF49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1167A2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59CA5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Thanking Backers:</w:t>
            </w:r>
          </w:p>
        </w:tc>
        <w:tc>
          <w:tcPr>
            <w:tcW w:w="6762" w:type="dxa"/>
            <w:tcBorders>
              <w:top w:val="nil"/>
              <w:left w:val="nil"/>
              <w:bottom w:val="single" w:sz="4" w:space="0" w:color="auto"/>
              <w:right w:val="single" w:sz="4" w:space="0" w:color="auto"/>
            </w:tcBorders>
            <w:shd w:val="clear" w:color="auto" w:fill="auto"/>
            <w:hideMark/>
          </w:tcPr>
          <w:p w14:paraId="4DB45C1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B3D1C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0FC40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2058D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0BDF3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7F9CB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Immediately after the campaign ends, express sincere gratitude to all backers for their support and contributions. Send personalized thank-you messages via email, social media, or crowdfunding platform updates to acknowledge their role in making the project a reality.</w:t>
            </w:r>
          </w:p>
        </w:tc>
        <w:tc>
          <w:tcPr>
            <w:tcW w:w="2566" w:type="dxa"/>
            <w:tcBorders>
              <w:top w:val="nil"/>
              <w:left w:val="nil"/>
              <w:bottom w:val="single" w:sz="4" w:space="0" w:color="auto"/>
              <w:right w:val="single" w:sz="4" w:space="0" w:color="auto"/>
            </w:tcBorders>
            <w:shd w:val="clear" w:color="auto" w:fill="auto"/>
            <w:hideMark/>
          </w:tcPr>
          <w:p w14:paraId="1EAD1BC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38476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1E07B3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E2CC4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C2E86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Consider creating special thank-you posts or videos to publicly recognize top backers or highlight memorable moments from the campaign. Show appreciation for backers of all contribution levels, as every pledge contributes to the project's success.</w:t>
            </w:r>
          </w:p>
        </w:tc>
        <w:tc>
          <w:tcPr>
            <w:tcW w:w="2566" w:type="dxa"/>
            <w:tcBorders>
              <w:top w:val="nil"/>
              <w:left w:val="nil"/>
              <w:bottom w:val="single" w:sz="4" w:space="0" w:color="auto"/>
              <w:right w:val="single" w:sz="4" w:space="0" w:color="auto"/>
            </w:tcBorders>
            <w:shd w:val="clear" w:color="auto" w:fill="auto"/>
            <w:hideMark/>
          </w:tcPr>
          <w:p w14:paraId="3E5B7F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BDC2D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517B0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C7E6B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Reward Fulfillment:</w:t>
            </w:r>
          </w:p>
        </w:tc>
        <w:tc>
          <w:tcPr>
            <w:tcW w:w="6762" w:type="dxa"/>
            <w:tcBorders>
              <w:top w:val="nil"/>
              <w:left w:val="nil"/>
              <w:bottom w:val="single" w:sz="4" w:space="0" w:color="auto"/>
              <w:right w:val="single" w:sz="4" w:space="0" w:color="auto"/>
            </w:tcBorders>
            <w:shd w:val="clear" w:color="auto" w:fill="auto"/>
            <w:hideMark/>
          </w:tcPr>
          <w:p w14:paraId="47E9BCF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0401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138C2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3E97D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7B33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82D39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Fulfill rewards promptly and efficiently to ensure a positive experience for backers. Keep backers informed about the status of their rewards through regular updates and communication channels. Provide estimated delivery timelines and shipping updates for physical rewards.</w:t>
            </w:r>
          </w:p>
        </w:tc>
        <w:tc>
          <w:tcPr>
            <w:tcW w:w="2566" w:type="dxa"/>
            <w:tcBorders>
              <w:top w:val="nil"/>
              <w:left w:val="nil"/>
              <w:bottom w:val="single" w:sz="4" w:space="0" w:color="auto"/>
              <w:right w:val="single" w:sz="4" w:space="0" w:color="auto"/>
            </w:tcBorders>
            <w:shd w:val="clear" w:color="auto" w:fill="auto"/>
            <w:hideMark/>
          </w:tcPr>
          <w:p w14:paraId="49FC74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07DD9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9F550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21C48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7DBC7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Maintain transparency throughout the reward fulfillment process, addressing any delays or issues that may arise and offering solutions or alternatives as needed. Prioritize clear and open communication to build trust and credibility with backers.</w:t>
            </w:r>
          </w:p>
        </w:tc>
        <w:tc>
          <w:tcPr>
            <w:tcW w:w="2566" w:type="dxa"/>
            <w:tcBorders>
              <w:top w:val="nil"/>
              <w:left w:val="nil"/>
              <w:bottom w:val="single" w:sz="4" w:space="0" w:color="auto"/>
              <w:right w:val="single" w:sz="4" w:space="0" w:color="auto"/>
            </w:tcBorders>
            <w:shd w:val="clear" w:color="auto" w:fill="auto"/>
            <w:hideMark/>
          </w:tcPr>
          <w:p w14:paraId="2FB530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302A4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9CDA0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A1D79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Project Updates:</w:t>
            </w:r>
          </w:p>
        </w:tc>
        <w:tc>
          <w:tcPr>
            <w:tcW w:w="6762" w:type="dxa"/>
            <w:tcBorders>
              <w:top w:val="nil"/>
              <w:left w:val="nil"/>
              <w:bottom w:val="single" w:sz="4" w:space="0" w:color="auto"/>
              <w:right w:val="single" w:sz="4" w:space="0" w:color="auto"/>
            </w:tcBorders>
            <w:shd w:val="clear" w:color="auto" w:fill="auto"/>
            <w:hideMark/>
          </w:tcPr>
          <w:p w14:paraId="6BD7AAD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BC2F4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45D7E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FD35C9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948C9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E22E1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Keep backers informed about the project's progress with regular updates on milestones achieved, challenges encountered, and next steps in the development process. Share insights, behind-the-scenes glimpses, and success stories to keep backers engaged and invested in the project's journey.</w:t>
            </w:r>
          </w:p>
        </w:tc>
        <w:tc>
          <w:tcPr>
            <w:tcW w:w="2566" w:type="dxa"/>
            <w:tcBorders>
              <w:top w:val="nil"/>
              <w:left w:val="nil"/>
              <w:bottom w:val="single" w:sz="4" w:space="0" w:color="auto"/>
              <w:right w:val="single" w:sz="4" w:space="0" w:color="auto"/>
            </w:tcBorders>
            <w:shd w:val="clear" w:color="auto" w:fill="auto"/>
            <w:hideMark/>
          </w:tcPr>
          <w:p w14:paraId="030EC26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9649E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A782F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B6D10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7DC0C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a variety of communication channels, including email newsletters, social media posts, and crowdfunding platform updates, to reach backers across different platforms and preferences. Tailor the frequency and format of updates to meet the needs and expectations of backers.</w:t>
            </w:r>
          </w:p>
        </w:tc>
        <w:tc>
          <w:tcPr>
            <w:tcW w:w="2566" w:type="dxa"/>
            <w:tcBorders>
              <w:top w:val="nil"/>
              <w:left w:val="nil"/>
              <w:bottom w:val="single" w:sz="4" w:space="0" w:color="auto"/>
              <w:right w:val="single" w:sz="4" w:space="0" w:color="auto"/>
            </w:tcBorders>
            <w:shd w:val="clear" w:color="auto" w:fill="auto"/>
            <w:hideMark/>
          </w:tcPr>
          <w:p w14:paraId="7A5A485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3B651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49F3A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8C8C2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Transparency and Accountability:</w:t>
            </w:r>
          </w:p>
        </w:tc>
        <w:tc>
          <w:tcPr>
            <w:tcW w:w="6762" w:type="dxa"/>
            <w:tcBorders>
              <w:top w:val="nil"/>
              <w:left w:val="nil"/>
              <w:bottom w:val="single" w:sz="4" w:space="0" w:color="auto"/>
              <w:right w:val="single" w:sz="4" w:space="0" w:color="auto"/>
            </w:tcBorders>
            <w:shd w:val="clear" w:color="auto" w:fill="auto"/>
            <w:hideMark/>
          </w:tcPr>
          <w:p w14:paraId="49E917B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E3EE0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3EBBD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AA1E1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53A8A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7B37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Maintain transparency and accountability by openly addressing setbacks, delays, or changes in project plans. Share updates on budget allocations, resource allocations, and any adjustments made to project timelines or objectives.</w:t>
            </w:r>
          </w:p>
        </w:tc>
        <w:tc>
          <w:tcPr>
            <w:tcW w:w="2566" w:type="dxa"/>
            <w:tcBorders>
              <w:top w:val="nil"/>
              <w:left w:val="nil"/>
              <w:bottom w:val="single" w:sz="4" w:space="0" w:color="auto"/>
              <w:right w:val="single" w:sz="4" w:space="0" w:color="auto"/>
            </w:tcBorders>
            <w:shd w:val="clear" w:color="auto" w:fill="auto"/>
            <w:hideMark/>
          </w:tcPr>
          <w:p w14:paraId="5D1052A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99DE5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FB9CA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A5F92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554A5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Invite feedback and input from backers on project decisions or developments, demonstrating a commitment to inclusivity and collaboration. Address questions, concerns, or inquiries from backers promptly and respectfully to foster a culture of trust and mutual respect.</w:t>
            </w:r>
          </w:p>
        </w:tc>
        <w:tc>
          <w:tcPr>
            <w:tcW w:w="2566" w:type="dxa"/>
            <w:tcBorders>
              <w:top w:val="nil"/>
              <w:left w:val="nil"/>
              <w:bottom w:val="single" w:sz="4" w:space="0" w:color="auto"/>
              <w:right w:val="single" w:sz="4" w:space="0" w:color="auto"/>
            </w:tcBorders>
            <w:shd w:val="clear" w:color="auto" w:fill="auto"/>
            <w:hideMark/>
          </w:tcPr>
          <w:p w14:paraId="721152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941AF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2F3A3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C3BFD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Community Engagement:</w:t>
            </w:r>
          </w:p>
        </w:tc>
        <w:tc>
          <w:tcPr>
            <w:tcW w:w="6762" w:type="dxa"/>
            <w:tcBorders>
              <w:top w:val="nil"/>
              <w:left w:val="nil"/>
              <w:bottom w:val="single" w:sz="4" w:space="0" w:color="auto"/>
              <w:right w:val="single" w:sz="4" w:space="0" w:color="auto"/>
            </w:tcBorders>
            <w:shd w:val="clear" w:color="auto" w:fill="auto"/>
            <w:hideMark/>
          </w:tcPr>
          <w:p w14:paraId="3BA417F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139202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F3B5F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7DB4D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3AC93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45A58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Cultivate ongoing relationships with backers beyond the duration of the campaign to foster a sense of community and continued support for future endeavors. Encourage backers to stay connected through dedicated online forums, social media groups, or community events.</w:t>
            </w:r>
          </w:p>
        </w:tc>
        <w:tc>
          <w:tcPr>
            <w:tcW w:w="2566" w:type="dxa"/>
            <w:tcBorders>
              <w:top w:val="nil"/>
              <w:left w:val="nil"/>
              <w:bottom w:val="single" w:sz="4" w:space="0" w:color="auto"/>
              <w:right w:val="single" w:sz="4" w:space="0" w:color="auto"/>
            </w:tcBorders>
            <w:shd w:val="clear" w:color="auto" w:fill="auto"/>
            <w:hideMark/>
          </w:tcPr>
          <w:p w14:paraId="17EC43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E680F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998D8A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BBD47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BD368C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Recognize and celebrate the contributions of backers as valued members of the project community. Offer exclusive opportunities or perks for backers, such as early access to project updates, special discounts, or invitations to VIP events.</w:t>
            </w:r>
          </w:p>
        </w:tc>
        <w:tc>
          <w:tcPr>
            <w:tcW w:w="2566" w:type="dxa"/>
            <w:tcBorders>
              <w:top w:val="nil"/>
              <w:left w:val="nil"/>
              <w:bottom w:val="single" w:sz="4" w:space="0" w:color="auto"/>
              <w:right w:val="single" w:sz="4" w:space="0" w:color="auto"/>
            </w:tcBorders>
            <w:shd w:val="clear" w:color="auto" w:fill="auto"/>
            <w:hideMark/>
          </w:tcPr>
          <w:p w14:paraId="286731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5EB95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AED66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83461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Antikytherian User Account Integration:</w:t>
            </w:r>
          </w:p>
        </w:tc>
        <w:tc>
          <w:tcPr>
            <w:tcW w:w="6762" w:type="dxa"/>
            <w:tcBorders>
              <w:top w:val="nil"/>
              <w:left w:val="nil"/>
              <w:bottom w:val="single" w:sz="4" w:space="0" w:color="auto"/>
              <w:right w:val="single" w:sz="4" w:space="0" w:color="auto"/>
            </w:tcBorders>
            <w:shd w:val="clear" w:color="auto" w:fill="auto"/>
            <w:hideMark/>
          </w:tcPr>
          <w:p w14:paraId="07250CF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37032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5E99B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36F81EA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BC0E5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7EB8C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Integrate the Antikytherian user account system with the post-campaign follow-up process to streamline communication and engagement with backers. Provide backers with access to their user accounts to track their contributions, redeem rewards, and stay updated on project developments.</w:t>
            </w:r>
          </w:p>
        </w:tc>
        <w:tc>
          <w:tcPr>
            <w:tcW w:w="2566" w:type="dxa"/>
            <w:tcBorders>
              <w:top w:val="nil"/>
              <w:left w:val="nil"/>
              <w:bottom w:val="single" w:sz="4" w:space="0" w:color="auto"/>
              <w:right w:val="single" w:sz="4" w:space="0" w:color="auto"/>
            </w:tcBorders>
            <w:shd w:val="clear" w:color="auto" w:fill="auto"/>
            <w:hideMark/>
          </w:tcPr>
          <w:p w14:paraId="7C83AB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BE8FD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23CCB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6A8B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F65E3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the Antikytherian platform to offer exclusive benefits or incentives for backers, such as discounts on future purchases, early access to new features or products, or special promotions reserved for loyal supporters.</w:t>
            </w:r>
          </w:p>
        </w:tc>
        <w:tc>
          <w:tcPr>
            <w:tcW w:w="2566" w:type="dxa"/>
            <w:tcBorders>
              <w:top w:val="nil"/>
              <w:left w:val="nil"/>
              <w:bottom w:val="single" w:sz="4" w:space="0" w:color="auto"/>
              <w:right w:val="single" w:sz="4" w:space="0" w:color="auto"/>
            </w:tcBorders>
            <w:shd w:val="clear" w:color="auto" w:fill="auto"/>
            <w:hideMark/>
          </w:tcPr>
          <w:p w14:paraId="02C4DF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E7B0E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AA1AF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D31A5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A7966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0431E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C02ED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87B653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E7B9A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Development:</w:t>
            </w:r>
          </w:p>
        </w:tc>
        <w:tc>
          <w:tcPr>
            <w:tcW w:w="6762" w:type="dxa"/>
            <w:tcBorders>
              <w:top w:val="nil"/>
              <w:left w:val="nil"/>
              <w:bottom w:val="single" w:sz="4" w:space="0" w:color="auto"/>
              <w:right w:val="single" w:sz="4" w:space="0" w:color="auto"/>
            </w:tcBorders>
            <w:shd w:val="clear" w:color="auto" w:fill="auto"/>
            <w:hideMark/>
          </w:tcPr>
          <w:p w14:paraId="54C9924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developing a robust plan for post-campaign follow-up that prioritizes communication, transparency, and community engagement, you can build lasting relationships with backers and stakeholders, ensuring continued support for your project's success.</w:t>
            </w:r>
          </w:p>
        </w:tc>
        <w:tc>
          <w:tcPr>
            <w:tcW w:w="2566" w:type="dxa"/>
            <w:tcBorders>
              <w:top w:val="nil"/>
              <w:left w:val="nil"/>
              <w:bottom w:val="single" w:sz="4" w:space="0" w:color="auto"/>
              <w:right w:val="single" w:sz="4" w:space="0" w:color="auto"/>
            </w:tcBorders>
            <w:shd w:val="clear" w:color="auto" w:fill="auto"/>
            <w:hideMark/>
          </w:tcPr>
          <w:p w14:paraId="53FEB05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A5E7C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3D2704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2B5E2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9C763F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151FEB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B10576" w14:textId="77777777" w:rsidTr="0041317E">
        <w:trPr>
          <w:trHeight w:val="3168"/>
        </w:trPr>
        <w:tc>
          <w:tcPr>
            <w:tcW w:w="1349" w:type="dxa"/>
            <w:tcBorders>
              <w:top w:val="nil"/>
              <w:left w:val="single" w:sz="4" w:space="0" w:color="auto"/>
              <w:bottom w:val="single" w:sz="4" w:space="0" w:color="auto"/>
              <w:right w:val="single" w:sz="4" w:space="0" w:color="auto"/>
            </w:tcBorders>
            <w:shd w:val="clear" w:color="auto" w:fill="auto"/>
            <w:hideMark/>
          </w:tcPr>
          <w:p w14:paraId="74BAB9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6. Campaign Planning: </w:t>
            </w:r>
          </w:p>
        </w:tc>
        <w:tc>
          <w:tcPr>
            <w:tcW w:w="2363" w:type="dxa"/>
            <w:tcBorders>
              <w:top w:val="nil"/>
              <w:left w:val="nil"/>
              <w:bottom w:val="single" w:sz="4" w:space="0" w:color="auto"/>
              <w:right w:val="single" w:sz="4" w:space="0" w:color="auto"/>
            </w:tcBorders>
            <w:shd w:val="clear" w:color="auto" w:fill="auto"/>
            <w:hideMark/>
          </w:tcPr>
          <w:p w14:paraId="3A6D4FC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Conclusion: </w:t>
            </w:r>
          </w:p>
        </w:tc>
        <w:tc>
          <w:tcPr>
            <w:tcW w:w="6762" w:type="dxa"/>
            <w:tcBorders>
              <w:top w:val="nil"/>
              <w:left w:val="nil"/>
              <w:bottom w:val="single" w:sz="4" w:space="0" w:color="auto"/>
              <w:right w:val="single" w:sz="4" w:space="0" w:color="auto"/>
            </w:tcBorders>
            <w:shd w:val="clear" w:color="auto" w:fill="auto"/>
            <w:hideMark/>
          </w:tcPr>
          <w:p w14:paraId="0E9990E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xml:space="preserve">By developing a detailed campaign plan that encompasses duration, funding goal, rewards, marketing strategy, and outreach tactics, you can effectively launch and manage a successful crowd funding campaign for your scientific project on counting primes. </w:t>
            </w:r>
          </w:p>
        </w:tc>
        <w:tc>
          <w:tcPr>
            <w:tcW w:w="2566" w:type="dxa"/>
            <w:tcBorders>
              <w:top w:val="nil"/>
              <w:left w:val="nil"/>
              <w:bottom w:val="single" w:sz="4" w:space="0" w:color="auto"/>
              <w:right w:val="single" w:sz="4" w:space="0" w:color="auto"/>
            </w:tcBorders>
            <w:shd w:val="clear" w:color="auto" w:fill="auto"/>
            <w:hideMark/>
          </w:tcPr>
          <w:p w14:paraId="3459D0E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Outreach has many aspects, for there are many advertisements for products that I remember yet the product exists no more.  Creating a memorable campaign that can live on through the projects evolution through time. Bringing people prime smiles.</w:t>
            </w:r>
          </w:p>
        </w:tc>
      </w:tr>
      <w:tr w:rsidR="0041317E" w:rsidRPr="0041317E" w14:paraId="4A728CD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62B794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D76F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EFC0F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Creating a memorable and effective crowdfunding campaign requires careful planning and execution across various aspects, from setting clear goals to engaging potential backers and stakeholders. Let's delve into the details of your addition and suggestions for the conclusion:</w:t>
            </w:r>
          </w:p>
        </w:tc>
        <w:tc>
          <w:tcPr>
            <w:tcW w:w="2566" w:type="dxa"/>
            <w:tcBorders>
              <w:top w:val="nil"/>
              <w:left w:val="nil"/>
              <w:bottom w:val="single" w:sz="4" w:space="0" w:color="auto"/>
              <w:right w:val="single" w:sz="4" w:space="0" w:color="auto"/>
            </w:tcBorders>
            <w:shd w:val="clear" w:color="auto" w:fill="auto"/>
            <w:hideMark/>
          </w:tcPr>
          <w:p w14:paraId="6BCA49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8DBE1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790F5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1ADBF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Detailed Campaign Plan:</w:t>
            </w:r>
          </w:p>
        </w:tc>
        <w:tc>
          <w:tcPr>
            <w:tcW w:w="6762" w:type="dxa"/>
            <w:tcBorders>
              <w:top w:val="nil"/>
              <w:left w:val="nil"/>
              <w:bottom w:val="single" w:sz="4" w:space="0" w:color="auto"/>
              <w:right w:val="single" w:sz="4" w:space="0" w:color="auto"/>
            </w:tcBorders>
            <w:shd w:val="clear" w:color="auto" w:fill="auto"/>
            <w:hideMark/>
          </w:tcPr>
          <w:p w14:paraId="4474C4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B1D0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1E29A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6C1AE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5234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AC9EE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Start by developing a comprehensive campaign plan that outlines key elements such as the campaign duration, funding goal, reward structure, marketing strategy, and outreach tactics. Set specific targets and milestones to measure the campaign's progress and success.</w:t>
            </w:r>
          </w:p>
        </w:tc>
        <w:tc>
          <w:tcPr>
            <w:tcW w:w="2566" w:type="dxa"/>
            <w:tcBorders>
              <w:top w:val="nil"/>
              <w:left w:val="nil"/>
              <w:bottom w:val="single" w:sz="4" w:space="0" w:color="auto"/>
              <w:right w:val="single" w:sz="4" w:space="0" w:color="auto"/>
            </w:tcBorders>
            <w:shd w:val="clear" w:color="auto" w:fill="auto"/>
            <w:hideMark/>
          </w:tcPr>
          <w:p w14:paraId="4C59AB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4BB8C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B2FF9A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885DC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Duration and Funding Goal:</w:t>
            </w:r>
          </w:p>
        </w:tc>
        <w:tc>
          <w:tcPr>
            <w:tcW w:w="6762" w:type="dxa"/>
            <w:tcBorders>
              <w:top w:val="nil"/>
              <w:left w:val="nil"/>
              <w:bottom w:val="single" w:sz="4" w:space="0" w:color="auto"/>
              <w:right w:val="single" w:sz="4" w:space="0" w:color="auto"/>
            </w:tcBorders>
            <w:shd w:val="clear" w:color="auto" w:fill="auto"/>
            <w:hideMark/>
          </w:tcPr>
          <w:p w14:paraId="2C83197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C742F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119B8F"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3FD21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0B8DA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346834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Determine the optimal duration for the campaign, considering factors such as audience attention span, project complexity, and the need for urgency. Set a realistic funding goal that aligns with the project's budget and objectives, breaking it down into specific budget items to ensure transparency and accountability.</w:t>
            </w:r>
          </w:p>
        </w:tc>
        <w:tc>
          <w:tcPr>
            <w:tcW w:w="2566" w:type="dxa"/>
            <w:tcBorders>
              <w:top w:val="nil"/>
              <w:left w:val="nil"/>
              <w:bottom w:val="single" w:sz="4" w:space="0" w:color="auto"/>
              <w:right w:val="single" w:sz="4" w:space="0" w:color="auto"/>
            </w:tcBorders>
            <w:shd w:val="clear" w:color="auto" w:fill="auto"/>
            <w:hideMark/>
          </w:tcPr>
          <w:p w14:paraId="53282B4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0535F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989A97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3654D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Rewards Structure:</w:t>
            </w:r>
          </w:p>
        </w:tc>
        <w:tc>
          <w:tcPr>
            <w:tcW w:w="6762" w:type="dxa"/>
            <w:tcBorders>
              <w:top w:val="nil"/>
              <w:left w:val="nil"/>
              <w:bottom w:val="single" w:sz="4" w:space="0" w:color="auto"/>
              <w:right w:val="single" w:sz="4" w:space="0" w:color="auto"/>
            </w:tcBorders>
            <w:shd w:val="clear" w:color="auto" w:fill="auto"/>
            <w:hideMark/>
          </w:tcPr>
          <w:p w14:paraId="1C62124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963000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FB254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0F535E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21B69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A66600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 a tiered reward system that offers incentives for backers at different contribution levels. Consider offering a range of rewards, from exclusive project updates and digital downloads to merchandise and opportunities for involvement in project-related activities or events.</w:t>
            </w:r>
          </w:p>
        </w:tc>
        <w:tc>
          <w:tcPr>
            <w:tcW w:w="2566" w:type="dxa"/>
            <w:tcBorders>
              <w:top w:val="nil"/>
              <w:left w:val="nil"/>
              <w:bottom w:val="single" w:sz="4" w:space="0" w:color="auto"/>
              <w:right w:val="single" w:sz="4" w:space="0" w:color="auto"/>
            </w:tcBorders>
            <w:shd w:val="clear" w:color="auto" w:fill="auto"/>
            <w:hideMark/>
          </w:tcPr>
          <w:p w14:paraId="547F981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2EF82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6D26D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CA930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Marketing Strategy:</w:t>
            </w:r>
          </w:p>
        </w:tc>
        <w:tc>
          <w:tcPr>
            <w:tcW w:w="6762" w:type="dxa"/>
            <w:tcBorders>
              <w:top w:val="nil"/>
              <w:left w:val="nil"/>
              <w:bottom w:val="single" w:sz="4" w:space="0" w:color="auto"/>
              <w:right w:val="single" w:sz="4" w:space="0" w:color="auto"/>
            </w:tcBorders>
            <w:shd w:val="clear" w:color="auto" w:fill="auto"/>
            <w:hideMark/>
          </w:tcPr>
          <w:p w14:paraId="4378748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F1B1C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59505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AF25D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EEBC2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B6095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comprehensive marketing strategy to promote the campaign and maximize its reach and impact. Utilize a mix of online and offline channels, including social media, email marketing, press releases, and community engagement, to raise awareness and generate interest in the project.</w:t>
            </w:r>
          </w:p>
        </w:tc>
        <w:tc>
          <w:tcPr>
            <w:tcW w:w="2566" w:type="dxa"/>
            <w:tcBorders>
              <w:top w:val="nil"/>
              <w:left w:val="nil"/>
              <w:bottom w:val="single" w:sz="4" w:space="0" w:color="auto"/>
              <w:right w:val="single" w:sz="4" w:space="0" w:color="auto"/>
            </w:tcBorders>
            <w:shd w:val="clear" w:color="auto" w:fill="auto"/>
            <w:hideMark/>
          </w:tcPr>
          <w:p w14:paraId="4D9196F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AB7EF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E6B951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4430E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Outreach Tactics:</w:t>
            </w:r>
          </w:p>
        </w:tc>
        <w:tc>
          <w:tcPr>
            <w:tcW w:w="6762" w:type="dxa"/>
            <w:tcBorders>
              <w:top w:val="nil"/>
              <w:left w:val="nil"/>
              <w:bottom w:val="single" w:sz="4" w:space="0" w:color="auto"/>
              <w:right w:val="single" w:sz="4" w:space="0" w:color="auto"/>
            </w:tcBorders>
            <w:shd w:val="clear" w:color="auto" w:fill="auto"/>
            <w:hideMark/>
          </w:tcPr>
          <w:p w14:paraId="0315170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B219D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E0CF2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531ED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62849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8690B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targeted outreach tactics to engage with potential backers and stakeholders in the project's target audience. This may include social media outreach, email marketing, community engagement, press and media outreach, and other creative strategies to reach a diverse audience.</w:t>
            </w:r>
          </w:p>
        </w:tc>
        <w:tc>
          <w:tcPr>
            <w:tcW w:w="2566" w:type="dxa"/>
            <w:tcBorders>
              <w:top w:val="nil"/>
              <w:left w:val="nil"/>
              <w:bottom w:val="single" w:sz="4" w:space="0" w:color="auto"/>
              <w:right w:val="single" w:sz="4" w:space="0" w:color="auto"/>
            </w:tcBorders>
            <w:shd w:val="clear" w:color="auto" w:fill="auto"/>
            <w:hideMark/>
          </w:tcPr>
          <w:p w14:paraId="5A6B9F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88C9D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47709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BE89E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Conclusion:</w:t>
            </w:r>
          </w:p>
        </w:tc>
        <w:tc>
          <w:tcPr>
            <w:tcW w:w="6762" w:type="dxa"/>
            <w:tcBorders>
              <w:top w:val="nil"/>
              <w:left w:val="nil"/>
              <w:bottom w:val="single" w:sz="4" w:space="0" w:color="auto"/>
              <w:right w:val="single" w:sz="4" w:space="0" w:color="auto"/>
            </w:tcBorders>
            <w:shd w:val="clear" w:color="auto" w:fill="auto"/>
            <w:hideMark/>
          </w:tcPr>
          <w:p w14:paraId="39BC693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C1DFD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A675A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BB48EF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DE047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5EBF9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Summarize the key elements of your campaign plan and emphasize the importance of thorough preparation and execution. By developing a detailed campaign plan that encompasses all aspects of the crowdfunding process, you can effectively launch and manage a successful campaign for your scientific project on counting primes.</w:t>
            </w:r>
          </w:p>
        </w:tc>
        <w:tc>
          <w:tcPr>
            <w:tcW w:w="2566" w:type="dxa"/>
            <w:tcBorders>
              <w:top w:val="nil"/>
              <w:left w:val="nil"/>
              <w:bottom w:val="single" w:sz="4" w:space="0" w:color="auto"/>
              <w:right w:val="single" w:sz="4" w:space="0" w:color="auto"/>
            </w:tcBorders>
            <w:shd w:val="clear" w:color="auto" w:fill="auto"/>
            <w:hideMark/>
          </w:tcPr>
          <w:p w14:paraId="65E90D0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CBF32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4FD52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4F0A1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43EC6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Highlight the significance of creating a memorable campaign that resonates with potential backers and stakeholders, leaving a lasting impression that continues to attract support and engagement as the project evolves over time.</w:t>
            </w:r>
          </w:p>
        </w:tc>
        <w:tc>
          <w:tcPr>
            <w:tcW w:w="2566" w:type="dxa"/>
            <w:tcBorders>
              <w:top w:val="nil"/>
              <w:left w:val="nil"/>
              <w:bottom w:val="single" w:sz="4" w:space="0" w:color="auto"/>
              <w:right w:val="single" w:sz="4" w:space="0" w:color="auto"/>
            </w:tcBorders>
            <w:shd w:val="clear" w:color="auto" w:fill="auto"/>
            <w:hideMark/>
          </w:tcPr>
          <w:p w14:paraId="5CD1EF0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FE5DC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73BF2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D55E9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19AD6B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Emphasize the value of bringing people together through the shared goal of advancing prime number theory, fostering collaboration, innovation, and discovery in the scientific community.</w:t>
            </w:r>
          </w:p>
        </w:tc>
        <w:tc>
          <w:tcPr>
            <w:tcW w:w="2566" w:type="dxa"/>
            <w:tcBorders>
              <w:top w:val="nil"/>
              <w:left w:val="nil"/>
              <w:bottom w:val="single" w:sz="4" w:space="0" w:color="auto"/>
              <w:right w:val="single" w:sz="4" w:space="0" w:color="auto"/>
            </w:tcBorders>
            <w:shd w:val="clear" w:color="auto" w:fill="auto"/>
            <w:hideMark/>
          </w:tcPr>
          <w:p w14:paraId="6C2C21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1235A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06151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7D6E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71394F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Conclude with a call to action, inviting individuals to join the campaign, support the project, and become part of the journey towards unlocking the mysteries of prime numbers. Encourage them to spread the word and share the campaign with their networks, amplifying its reach and impact.</w:t>
            </w:r>
          </w:p>
        </w:tc>
        <w:tc>
          <w:tcPr>
            <w:tcW w:w="2566" w:type="dxa"/>
            <w:tcBorders>
              <w:top w:val="nil"/>
              <w:left w:val="nil"/>
              <w:bottom w:val="single" w:sz="4" w:space="0" w:color="auto"/>
              <w:right w:val="single" w:sz="4" w:space="0" w:color="auto"/>
            </w:tcBorders>
            <w:shd w:val="clear" w:color="auto" w:fill="auto"/>
            <w:hideMark/>
          </w:tcPr>
          <w:p w14:paraId="2547A1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73D33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DA200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05488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BB784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701CF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7E73B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57AE7F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7. Communication Strategy: </w:t>
            </w:r>
          </w:p>
        </w:tc>
        <w:tc>
          <w:tcPr>
            <w:tcW w:w="2363" w:type="dxa"/>
            <w:tcBorders>
              <w:top w:val="nil"/>
              <w:left w:val="nil"/>
              <w:bottom w:val="single" w:sz="4" w:space="0" w:color="auto"/>
              <w:right w:val="single" w:sz="4" w:space="0" w:color="auto"/>
            </w:tcBorders>
            <w:shd w:val="clear" w:color="auto" w:fill="auto"/>
            <w:hideMark/>
          </w:tcPr>
          <w:p w14:paraId="272168F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C47FB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Outline how you will communicate with potential backers throughout the campaign. This includes social media outreach, email newsletters, press releases, and updates on the project's progress.</w:t>
            </w:r>
          </w:p>
        </w:tc>
        <w:tc>
          <w:tcPr>
            <w:tcW w:w="2566" w:type="dxa"/>
            <w:tcBorders>
              <w:top w:val="nil"/>
              <w:left w:val="nil"/>
              <w:bottom w:val="single" w:sz="4" w:space="0" w:color="auto"/>
              <w:right w:val="single" w:sz="4" w:space="0" w:color="auto"/>
            </w:tcBorders>
            <w:shd w:val="clear" w:color="auto" w:fill="auto"/>
            <w:hideMark/>
          </w:tcPr>
          <w:p w14:paraId="586505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409217" w14:textId="77777777" w:rsidTr="0041317E">
        <w:trPr>
          <w:trHeight w:val="2592"/>
        </w:trPr>
        <w:tc>
          <w:tcPr>
            <w:tcW w:w="1349" w:type="dxa"/>
            <w:tcBorders>
              <w:top w:val="nil"/>
              <w:left w:val="single" w:sz="4" w:space="0" w:color="auto"/>
              <w:bottom w:val="single" w:sz="4" w:space="0" w:color="auto"/>
              <w:right w:val="single" w:sz="4" w:space="0" w:color="auto"/>
            </w:tcBorders>
            <w:shd w:val="clear" w:color="auto" w:fill="auto"/>
            <w:hideMark/>
          </w:tcPr>
          <w:p w14:paraId="2C2A51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745F8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Social Media Outreach:</w:t>
            </w:r>
          </w:p>
        </w:tc>
        <w:tc>
          <w:tcPr>
            <w:tcW w:w="6762" w:type="dxa"/>
            <w:tcBorders>
              <w:top w:val="nil"/>
              <w:left w:val="nil"/>
              <w:bottom w:val="single" w:sz="4" w:space="0" w:color="auto"/>
              <w:right w:val="single" w:sz="4" w:space="0" w:color="auto"/>
            </w:tcBorders>
            <w:shd w:val="clear" w:color="auto" w:fill="auto"/>
            <w:hideMark/>
          </w:tcPr>
          <w:p w14:paraId="0182796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Identify key social media platforms where your target audience is most active, such as Twitter, Facebook, Instagram, LinkedIn, and Reddit.</w:t>
            </w:r>
          </w:p>
        </w:tc>
        <w:tc>
          <w:tcPr>
            <w:tcW w:w="2566" w:type="dxa"/>
            <w:tcBorders>
              <w:top w:val="nil"/>
              <w:left w:val="nil"/>
              <w:bottom w:val="single" w:sz="4" w:space="0" w:color="auto"/>
              <w:right w:val="single" w:sz="4" w:space="0" w:color="auto"/>
            </w:tcBorders>
            <w:shd w:val="clear" w:color="auto" w:fill="auto"/>
            <w:hideMark/>
          </w:tcPr>
          <w:p w14:paraId="0578C5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Multi-Post content to all Platforms and respond to all inquiries from one platform to internally document all possible client interaction. Generate Types of Communique such as Progress, Financial, Press, Internal,</w:t>
            </w:r>
          </w:p>
        </w:tc>
      </w:tr>
      <w:tr w:rsidR="0041317E" w:rsidRPr="0041317E" w14:paraId="73BFD00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9313A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A6DF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CF24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Your addition to the communication strategy focuses on leveraging social media outreach as a key component of engaging with potential backers throughout the crowdfunding campaign. Let's break down your suggestion and further elaborate on it:</w:t>
            </w:r>
          </w:p>
        </w:tc>
        <w:tc>
          <w:tcPr>
            <w:tcW w:w="2566" w:type="dxa"/>
            <w:tcBorders>
              <w:top w:val="nil"/>
              <w:left w:val="nil"/>
              <w:bottom w:val="single" w:sz="4" w:space="0" w:color="auto"/>
              <w:right w:val="single" w:sz="4" w:space="0" w:color="auto"/>
            </w:tcBorders>
            <w:shd w:val="clear" w:color="auto" w:fill="auto"/>
            <w:hideMark/>
          </w:tcPr>
          <w:p w14:paraId="61BB913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B65FC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09BF0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7125D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Social Media Outreach: a. Identify Key Platforms:</w:t>
            </w:r>
          </w:p>
        </w:tc>
        <w:tc>
          <w:tcPr>
            <w:tcW w:w="6762" w:type="dxa"/>
            <w:tcBorders>
              <w:top w:val="nil"/>
              <w:left w:val="nil"/>
              <w:bottom w:val="single" w:sz="4" w:space="0" w:color="auto"/>
              <w:right w:val="single" w:sz="4" w:space="0" w:color="auto"/>
            </w:tcBorders>
            <w:shd w:val="clear" w:color="auto" w:fill="auto"/>
            <w:hideMark/>
          </w:tcPr>
          <w:p w14:paraId="24C656C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7FB81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A72ED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D8587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ADE46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820BF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Begin by identifying the key social media platforms where your target audience is most active. This could include platforms such as Twitter, Facebook, Instagram, LinkedIn, and Reddit.</w:t>
            </w:r>
          </w:p>
        </w:tc>
        <w:tc>
          <w:tcPr>
            <w:tcW w:w="2566" w:type="dxa"/>
            <w:tcBorders>
              <w:top w:val="nil"/>
              <w:left w:val="nil"/>
              <w:bottom w:val="single" w:sz="4" w:space="0" w:color="auto"/>
              <w:right w:val="single" w:sz="4" w:space="0" w:color="auto"/>
            </w:tcBorders>
            <w:shd w:val="clear" w:color="auto" w:fill="auto"/>
            <w:hideMark/>
          </w:tcPr>
          <w:p w14:paraId="4B6166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D3A9A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2BDF5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6FF8F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EAF5A3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research to understand which platforms are most popular among your target demographic and where discussions related to your project are already taking place.</w:t>
            </w:r>
          </w:p>
        </w:tc>
        <w:tc>
          <w:tcPr>
            <w:tcW w:w="2566" w:type="dxa"/>
            <w:tcBorders>
              <w:top w:val="nil"/>
              <w:left w:val="nil"/>
              <w:bottom w:val="single" w:sz="4" w:space="0" w:color="auto"/>
              <w:right w:val="single" w:sz="4" w:space="0" w:color="auto"/>
            </w:tcBorders>
            <w:shd w:val="clear" w:color="auto" w:fill="auto"/>
            <w:hideMark/>
          </w:tcPr>
          <w:p w14:paraId="7824260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516BFA" w14:textId="77777777" w:rsidTr="0041317E">
        <w:trPr>
          <w:trHeight w:val="8190"/>
        </w:trPr>
        <w:tc>
          <w:tcPr>
            <w:tcW w:w="1349" w:type="dxa"/>
            <w:tcBorders>
              <w:top w:val="nil"/>
              <w:left w:val="single" w:sz="4" w:space="0" w:color="auto"/>
              <w:bottom w:val="single" w:sz="4" w:space="0" w:color="auto"/>
              <w:right w:val="single" w:sz="4" w:space="0" w:color="auto"/>
            </w:tcBorders>
            <w:shd w:val="clear" w:color="auto" w:fill="auto"/>
            <w:hideMark/>
          </w:tcPr>
          <w:p w14:paraId="5C20D7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02617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Consider the unique features and characteristics of each platform to tailor your approach accordingly. For example, Twitter may be more suitable for short updates and engaging in real-time conversations, while LinkedIn might be better suited for professional networking and sharing industry-related news and updates.</w:t>
            </w:r>
          </w:p>
        </w:tc>
        <w:tc>
          <w:tcPr>
            <w:tcW w:w="6762" w:type="dxa"/>
            <w:tcBorders>
              <w:top w:val="nil"/>
              <w:left w:val="nil"/>
              <w:bottom w:val="single" w:sz="4" w:space="0" w:color="auto"/>
              <w:right w:val="single" w:sz="4" w:space="0" w:color="auto"/>
            </w:tcBorders>
            <w:shd w:val="clear" w:color="auto" w:fill="auto"/>
            <w:hideMark/>
          </w:tcPr>
          <w:p w14:paraId="3D6184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125B3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93A58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4A859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82EFB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33403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 Multi-Platform Posting:</w:t>
            </w:r>
          </w:p>
        </w:tc>
        <w:tc>
          <w:tcPr>
            <w:tcW w:w="2566" w:type="dxa"/>
            <w:tcBorders>
              <w:top w:val="nil"/>
              <w:left w:val="nil"/>
              <w:bottom w:val="single" w:sz="4" w:space="0" w:color="auto"/>
              <w:right w:val="single" w:sz="4" w:space="0" w:color="auto"/>
            </w:tcBorders>
            <w:shd w:val="clear" w:color="auto" w:fill="auto"/>
            <w:hideMark/>
          </w:tcPr>
          <w:p w14:paraId="7C330D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B9223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44163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90992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50425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tools and platforms that allow for multi-platform posting, enabling you to share content simultaneously across multiple social media channels.</w:t>
            </w:r>
          </w:p>
        </w:tc>
        <w:tc>
          <w:tcPr>
            <w:tcW w:w="2566" w:type="dxa"/>
            <w:tcBorders>
              <w:top w:val="nil"/>
              <w:left w:val="nil"/>
              <w:bottom w:val="single" w:sz="4" w:space="0" w:color="auto"/>
              <w:right w:val="single" w:sz="4" w:space="0" w:color="auto"/>
            </w:tcBorders>
            <w:shd w:val="clear" w:color="auto" w:fill="auto"/>
            <w:hideMark/>
          </w:tcPr>
          <w:p w14:paraId="730EB1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D1687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A62C2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BECC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B15FB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content calendar outlining the frequency and timing of posts on each platform. Consistency is key to maintaining engagement and visibility throughout the campaign.</w:t>
            </w:r>
          </w:p>
        </w:tc>
        <w:tc>
          <w:tcPr>
            <w:tcW w:w="2566" w:type="dxa"/>
            <w:tcBorders>
              <w:top w:val="nil"/>
              <w:left w:val="nil"/>
              <w:bottom w:val="single" w:sz="4" w:space="0" w:color="auto"/>
              <w:right w:val="single" w:sz="4" w:space="0" w:color="auto"/>
            </w:tcBorders>
            <w:shd w:val="clear" w:color="auto" w:fill="auto"/>
            <w:hideMark/>
          </w:tcPr>
          <w:p w14:paraId="1AB11DD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D22FB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7A258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2B1A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93F50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a variety of content types to keep your audience engaged, including text posts, images, videos, infographics, polls, and interactive content.</w:t>
            </w:r>
          </w:p>
        </w:tc>
        <w:tc>
          <w:tcPr>
            <w:tcW w:w="2566" w:type="dxa"/>
            <w:tcBorders>
              <w:top w:val="nil"/>
              <w:left w:val="nil"/>
              <w:bottom w:val="single" w:sz="4" w:space="0" w:color="auto"/>
              <w:right w:val="single" w:sz="4" w:space="0" w:color="auto"/>
            </w:tcBorders>
            <w:shd w:val="clear" w:color="auto" w:fill="auto"/>
            <w:hideMark/>
          </w:tcPr>
          <w:p w14:paraId="712B51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6C8AF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B7CD2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96D9C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C2D058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your messaging is consistent across all platforms, conveying the same key points and reinforcing your campaign's value proposition and goals.</w:t>
            </w:r>
          </w:p>
        </w:tc>
        <w:tc>
          <w:tcPr>
            <w:tcW w:w="2566" w:type="dxa"/>
            <w:tcBorders>
              <w:top w:val="nil"/>
              <w:left w:val="nil"/>
              <w:bottom w:val="single" w:sz="4" w:space="0" w:color="auto"/>
              <w:right w:val="single" w:sz="4" w:space="0" w:color="auto"/>
            </w:tcBorders>
            <w:shd w:val="clear" w:color="auto" w:fill="auto"/>
            <w:hideMark/>
          </w:tcPr>
          <w:p w14:paraId="3638DC6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7CB81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51C62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034A9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 Response Management:</w:t>
            </w:r>
          </w:p>
        </w:tc>
        <w:tc>
          <w:tcPr>
            <w:tcW w:w="6762" w:type="dxa"/>
            <w:tcBorders>
              <w:top w:val="nil"/>
              <w:left w:val="nil"/>
              <w:bottom w:val="single" w:sz="4" w:space="0" w:color="auto"/>
              <w:right w:val="single" w:sz="4" w:space="0" w:color="auto"/>
            </w:tcBorders>
            <w:shd w:val="clear" w:color="auto" w:fill="auto"/>
            <w:hideMark/>
          </w:tcPr>
          <w:p w14:paraId="52523DD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1BC5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3B67C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7AE8C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4CA9D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1CDBA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Establish a streamlined process for managing responses and inquiries from potential backers across different social media platforms.</w:t>
            </w:r>
          </w:p>
        </w:tc>
        <w:tc>
          <w:tcPr>
            <w:tcW w:w="2566" w:type="dxa"/>
            <w:tcBorders>
              <w:top w:val="nil"/>
              <w:left w:val="nil"/>
              <w:bottom w:val="single" w:sz="4" w:space="0" w:color="auto"/>
              <w:right w:val="single" w:sz="4" w:space="0" w:color="auto"/>
            </w:tcBorders>
            <w:shd w:val="clear" w:color="auto" w:fill="auto"/>
            <w:hideMark/>
          </w:tcPr>
          <w:p w14:paraId="142345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5B361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A0A18B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63C86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0BE4A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Designate team members or use automated tools to monitor and respond to messages, comments, and mentions in a timely manner.</w:t>
            </w:r>
          </w:p>
        </w:tc>
        <w:tc>
          <w:tcPr>
            <w:tcW w:w="2566" w:type="dxa"/>
            <w:tcBorders>
              <w:top w:val="nil"/>
              <w:left w:val="nil"/>
              <w:bottom w:val="single" w:sz="4" w:space="0" w:color="auto"/>
              <w:right w:val="single" w:sz="4" w:space="0" w:color="auto"/>
            </w:tcBorders>
            <w:shd w:val="clear" w:color="auto" w:fill="auto"/>
            <w:hideMark/>
          </w:tcPr>
          <w:p w14:paraId="165058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5B44A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D35DF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D87D9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56DEE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internal documentation systems to track all interactions with potential backers, including inquiries, feedback, and expressions of interest. This data can provide valuable insights into audience engagement and help inform future communication strategies.</w:t>
            </w:r>
          </w:p>
        </w:tc>
        <w:tc>
          <w:tcPr>
            <w:tcW w:w="2566" w:type="dxa"/>
            <w:tcBorders>
              <w:top w:val="nil"/>
              <w:left w:val="nil"/>
              <w:bottom w:val="single" w:sz="4" w:space="0" w:color="auto"/>
              <w:right w:val="single" w:sz="4" w:space="0" w:color="auto"/>
            </w:tcBorders>
            <w:shd w:val="clear" w:color="auto" w:fill="auto"/>
            <w:hideMark/>
          </w:tcPr>
          <w:p w14:paraId="41B1FD9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698DE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C64B1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EAF96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 Generate Types of Communique:</w:t>
            </w:r>
          </w:p>
        </w:tc>
        <w:tc>
          <w:tcPr>
            <w:tcW w:w="6762" w:type="dxa"/>
            <w:tcBorders>
              <w:top w:val="nil"/>
              <w:left w:val="nil"/>
              <w:bottom w:val="single" w:sz="4" w:space="0" w:color="auto"/>
              <w:right w:val="single" w:sz="4" w:space="0" w:color="auto"/>
            </w:tcBorders>
            <w:shd w:val="clear" w:color="auto" w:fill="auto"/>
            <w:hideMark/>
          </w:tcPr>
          <w:p w14:paraId="1A6EBEC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99DA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29E14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E76B44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F0142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42647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diverse range of communication types to keep your audience informed and engaged throughout the campaign.</w:t>
            </w:r>
          </w:p>
        </w:tc>
        <w:tc>
          <w:tcPr>
            <w:tcW w:w="2566" w:type="dxa"/>
            <w:tcBorders>
              <w:top w:val="nil"/>
              <w:left w:val="nil"/>
              <w:bottom w:val="single" w:sz="4" w:space="0" w:color="auto"/>
              <w:right w:val="single" w:sz="4" w:space="0" w:color="auto"/>
            </w:tcBorders>
            <w:shd w:val="clear" w:color="auto" w:fill="auto"/>
            <w:hideMark/>
          </w:tcPr>
          <w:p w14:paraId="09147D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1E42A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BB464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8102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4528B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Progress Updates: Share regular updates on the project's progress, milestones achieved, and any developments or breakthroughs. Highlight the impact of backers' contributions and demonstrate tangible results.</w:t>
            </w:r>
          </w:p>
        </w:tc>
        <w:tc>
          <w:tcPr>
            <w:tcW w:w="2566" w:type="dxa"/>
            <w:tcBorders>
              <w:top w:val="nil"/>
              <w:left w:val="nil"/>
              <w:bottom w:val="single" w:sz="4" w:space="0" w:color="auto"/>
              <w:right w:val="single" w:sz="4" w:space="0" w:color="auto"/>
            </w:tcBorders>
            <w:shd w:val="clear" w:color="auto" w:fill="auto"/>
            <w:hideMark/>
          </w:tcPr>
          <w:p w14:paraId="1A36E5E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9F42E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EEEFC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567E3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E35132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Financial Updates: Provide transparency regarding the campaign's financial status, including fundraising progress, funding goals, and how contributions are being utilized. Build trust and credibility by demonstrating responsible stewardship of resources.</w:t>
            </w:r>
          </w:p>
        </w:tc>
        <w:tc>
          <w:tcPr>
            <w:tcW w:w="2566" w:type="dxa"/>
            <w:tcBorders>
              <w:top w:val="nil"/>
              <w:left w:val="nil"/>
              <w:bottom w:val="single" w:sz="4" w:space="0" w:color="auto"/>
              <w:right w:val="single" w:sz="4" w:space="0" w:color="auto"/>
            </w:tcBorders>
            <w:shd w:val="clear" w:color="auto" w:fill="auto"/>
            <w:hideMark/>
          </w:tcPr>
          <w:p w14:paraId="652D36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C55DB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2D6B1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53E3D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599DC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Press Releases: Distribute press releases to relevant media outlets and journalists to generate publicity and raise awareness of the campaign. Highlight key aspects of the project, notable achievements, and unique value propositions.</w:t>
            </w:r>
          </w:p>
        </w:tc>
        <w:tc>
          <w:tcPr>
            <w:tcW w:w="2566" w:type="dxa"/>
            <w:tcBorders>
              <w:top w:val="nil"/>
              <w:left w:val="nil"/>
              <w:bottom w:val="single" w:sz="4" w:space="0" w:color="auto"/>
              <w:right w:val="single" w:sz="4" w:space="0" w:color="auto"/>
            </w:tcBorders>
            <w:shd w:val="clear" w:color="auto" w:fill="auto"/>
            <w:hideMark/>
          </w:tcPr>
          <w:p w14:paraId="2B07D6B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C59D6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CA81D3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76105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45CA98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Internal Updates: Keep internal stakeholders, team members, and partners informed about campaign activities, strategies, and outcomes. Foster collaboration and alignment by sharing insights, challenges, and opportunities for improvement.</w:t>
            </w:r>
          </w:p>
        </w:tc>
        <w:tc>
          <w:tcPr>
            <w:tcW w:w="2566" w:type="dxa"/>
            <w:tcBorders>
              <w:top w:val="nil"/>
              <w:left w:val="nil"/>
              <w:bottom w:val="single" w:sz="4" w:space="0" w:color="auto"/>
              <w:right w:val="single" w:sz="4" w:space="0" w:color="auto"/>
            </w:tcBorders>
            <w:shd w:val="clear" w:color="auto" w:fill="auto"/>
            <w:hideMark/>
          </w:tcPr>
          <w:p w14:paraId="71E059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AFCBA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634ED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7CF43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6FB1429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E544A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7960D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D250E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B1CF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84B0B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a comprehensive social media outreach strategy, you can effectively communicate with potential backers, build excitement and momentum for your campaign, and maximize engagement and support throughout the crowdfunding process.</w:t>
            </w:r>
          </w:p>
        </w:tc>
        <w:tc>
          <w:tcPr>
            <w:tcW w:w="2566" w:type="dxa"/>
            <w:tcBorders>
              <w:top w:val="nil"/>
              <w:left w:val="nil"/>
              <w:bottom w:val="single" w:sz="4" w:space="0" w:color="auto"/>
              <w:right w:val="single" w:sz="4" w:space="0" w:color="auto"/>
            </w:tcBorders>
            <w:shd w:val="clear" w:color="auto" w:fill="auto"/>
            <w:hideMark/>
          </w:tcPr>
          <w:p w14:paraId="067B4E5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65141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28598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2763D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42F357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22397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3D7222" w14:textId="77777777" w:rsidTr="0041317E">
        <w:trPr>
          <w:trHeight w:val="1440"/>
        </w:trPr>
        <w:tc>
          <w:tcPr>
            <w:tcW w:w="1349" w:type="dxa"/>
            <w:tcBorders>
              <w:top w:val="nil"/>
              <w:left w:val="single" w:sz="4" w:space="0" w:color="auto"/>
              <w:bottom w:val="single" w:sz="4" w:space="0" w:color="auto"/>
              <w:right w:val="single" w:sz="4" w:space="0" w:color="auto"/>
            </w:tcBorders>
            <w:shd w:val="clear" w:color="auto" w:fill="auto"/>
            <w:hideMark/>
          </w:tcPr>
          <w:p w14:paraId="32BFE96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69FFB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Social Media Outreach:</w:t>
            </w:r>
          </w:p>
        </w:tc>
        <w:tc>
          <w:tcPr>
            <w:tcW w:w="6762" w:type="dxa"/>
            <w:tcBorders>
              <w:top w:val="nil"/>
              <w:left w:val="nil"/>
              <w:bottom w:val="single" w:sz="4" w:space="0" w:color="auto"/>
              <w:right w:val="single" w:sz="4" w:space="0" w:color="auto"/>
            </w:tcBorders>
            <w:shd w:val="clear" w:color="auto" w:fill="auto"/>
            <w:hideMark/>
          </w:tcPr>
          <w:p w14:paraId="0883ED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Develop a content calendar outlining the frequency and timing of posts, including campaign announcements, project updates, behind-the-scenes glimpses, and engaging visuals.</w:t>
            </w:r>
          </w:p>
        </w:tc>
        <w:tc>
          <w:tcPr>
            <w:tcW w:w="2566" w:type="dxa"/>
            <w:tcBorders>
              <w:top w:val="nil"/>
              <w:left w:val="nil"/>
              <w:bottom w:val="single" w:sz="4" w:space="0" w:color="auto"/>
              <w:right w:val="single" w:sz="4" w:space="0" w:color="auto"/>
            </w:tcBorders>
            <w:shd w:val="clear" w:color="auto" w:fill="auto"/>
            <w:hideMark/>
          </w:tcPr>
          <w:p w14:paraId="483BB9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Automated and personalized.  Prime number finds that line up to numbers of interest such as birthdays</w:t>
            </w:r>
          </w:p>
        </w:tc>
      </w:tr>
      <w:tr w:rsidR="0041317E" w:rsidRPr="0041317E" w14:paraId="6676DCB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6E50658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54E54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EDD0C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Your addition to the social media outreach strategy involves developing a content calendar to schedule posts that include campaign announcements, project updates, behind-the-scenes glimpses, and engaging visuals. Let's delve deeper into your suggestion and elaborate on how this can be implemented:</w:t>
            </w:r>
          </w:p>
        </w:tc>
        <w:tc>
          <w:tcPr>
            <w:tcW w:w="2566" w:type="dxa"/>
            <w:tcBorders>
              <w:top w:val="nil"/>
              <w:left w:val="nil"/>
              <w:bottom w:val="single" w:sz="4" w:space="0" w:color="auto"/>
              <w:right w:val="single" w:sz="4" w:space="0" w:color="auto"/>
            </w:tcBorders>
            <w:shd w:val="clear" w:color="auto" w:fill="auto"/>
            <w:hideMark/>
          </w:tcPr>
          <w:p w14:paraId="2A6E59C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9C5ED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8FE45D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CB83B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Develop a Content Calendar:</w:t>
            </w:r>
          </w:p>
        </w:tc>
        <w:tc>
          <w:tcPr>
            <w:tcW w:w="6762" w:type="dxa"/>
            <w:tcBorders>
              <w:top w:val="nil"/>
              <w:left w:val="nil"/>
              <w:bottom w:val="single" w:sz="4" w:space="0" w:color="auto"/>
              <w:right w:val="single" w:sz="4" w:space="0" w:color="auto"/>
            </w:tcBorders>
            <w:shd w:val="clear" w:color="auto" w:fill="auto"/>
            <w:hideMark/>
          </w:tcPr>
          <w:p w14:paraId="13888EC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8DAEB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00DC5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EF49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EE31D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Automated and Personalized:</w:t>
            </w:r>
          </w:p>
        </w:tc>
        <w:tc>
          <w:tcPr>
            <w:tcW w:w="6762" w:type="dxa"/>
            <w:tcBorders>
              <w:top w:val="nil"/>
              <w:left w:val="nil"/>
              <w:bottom w:val="single" w:sz="4" w:space="0" w:color="auto"/>
              <w:right w:val="single" w:sz="4" w:space="0" w:color="auto"/>
            </w:tcBorders>
            <w:shd w:val="clear" w:color="auto" w:fill="auto"/>
            <w:hideMark/>
          </w:tcPr>
          <w:p w14:paraId="40F9A15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3AEBFC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C0C83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6129AC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C97B1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68432A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social media management tools such as Hootsuite, Buffer, or Sprout Social to automate the scheduling of posts across various social media platforms. These tools allow you to plan and schedule posts in advance, ensuring consistent and timely communication with potential backers.</w:t>
            </w:r>
          </w:p>
        </w:tc>
        <w:tc>
          <w:tcPr>
            <w:tcW w:w="2566" w:type="dxa"/>
            <w:tcBorders>
              <w:top w:val="nil"/>
              <w:left w:val="nil"/>
              <w:bottom w:val="single" w:sz="4" w:space="0" w:color="auto"/>
              <w:right w:val="single" w:sz="4" w:space="0" w:color="auto"/>
            </w:tcBorders>
            <w:shd w:val="clear" w:color="auto" w:fill="auto"/>
            <w:hideMark/>
          </w:tcPr>
          <w:p w14:paraId="78979F2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85392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DCE09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56ED8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E2EAD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Personalize your content to make it more engaging and relevant to your audience. Tailor your messaging to resonate with the interests and preferences of potential backers, showcasing how their support contributes to the project's success.</w:t>
            </w:r>
          </w:p>
        </w:tc>
        <w:tc>
          <w:tcPr>
            <w:tcW w:w="2566" w:type="dxa"/>
            <w:tcBorders>
              <w:top w:val="nil"/>
              <w:left w:val="nil"/>
              <w:bottom w:val="single" w:sz="4" w:space="0" w:color="auto"/>
              <w:right w:val="single" w:sz="4" w:space="0" w:color="auto"/>
            </w:tcBorders>
            <w:shd w:val="clear" w:color="auto" w:fill="auto"/>
            <w:hideMark/>
          </w:tcPr>
          <w:p w14:paraId="7D575C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2FCF8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0EF4B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377EB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70451C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Incorporate elements of personalization, such as addressing backers by their first name in email newsletters or social media posts, to create a sense of connection and rapport.</w:t>
            </w:r>
          </w:p>
        </w:tc>
        <w:tc>
          <w:tcPr>
            <w:tcW w:w="2566" w:type="dxa"/>
            <w:tcBorders>
              <w:top w:val="nil"/>
              <w:left w:val="nil"/>
              <w:bottom w:val="single" w:sz="4" w:space="0" w:color="auto"/>
              <w:right w:val="single" w:sz="4" w:space="0" w:color="auto"/>
            </w:tcBorders>
            <w:shd w:val="clear" w:color="auto" w:fill="auto"/>
            <w:hideMark/>
          </w:tcPr>
          <w:p w14:paraId="4BC0F9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AF8B9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63870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398ED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Prime Number Finds:</w:t>
            </w:r>
          </w:p>
        </w:tc>
        <w:tc>
          <w:tcPr>
            <w:tcW w:w="6762" w:type="dxa"/>
            <w:tcBorders>
              <w:top w:val="nil"/>
              <w:left w:val="nil"/>
              <w:bottom w:val="single" w:sz="4" w:space="0" w:color="auto"/>
              <w:right w:val="single" w:sz="4" w:space="0" w:color="auto"/>
            </w:tcBorders>
            <w:shd w:val="clear" w:color="auto" w:fill="auto"/>
            <w:hideMark/>
          </w:tcPr>
          <w:p w14:paraId="1129CFE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C18DBA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D1AA4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98B8F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0930F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DA7752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Integrate prime number finds into your content calendar to add an element of intrigue and personalization. For example, you can highlight prime numbers that align with significant dates or events in potential backers' lives, such as birthdays, anniversaries, or historical milestones.</w:t>
            </w:r>
          </w:p>
        </w:tc>
        <w:tc>
          <w:tcPr>
            <w:tcW w:w="2566" w:type="dxa"/>
            <w:tcBorders>
              <w:top w:val="nil"/>
              <w:left w:val="nil"/>
              <w:bottom w:val="single" w:sz="4" w:space="0" w:color="auto"/>
              <w:right w:val="single" w:sz="4" w:space="0" w:color="auto"/>
            </w:tcBorders>
            <w:shd w:val="clear" w:color="auto" w:fill="auto"/>
            <w:hideMark/>
          </w:tcPr>
          <w:p w14:paraId="0C4721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D7E57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97E05D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B3BF3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BC335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prime number finds as a creative way to capture attention and generate interest in the campaign. Share fascinating facts or trivia about prime numbers to pique curiosity and spark conversations among your audience.</w:t>
            </w:r>
          </w:p>
        </w:tc>
        <w:tc>
          <w:tcPr>
            <w:tcW w:w="2566" w:type="dxa"/>
            <w:tcBorders>
              <w:top w:val="nil"/>
              <w:left w:val="nil"/>
              <w:bottom w:val="single" w:sz="4" w:space="0" w:color="auto"/>
              <w:right w:val="single" w:sz="4" w:space="0" w:color="auto"/>
            </w:tcBorders>
            <w:shd w:val="clear" w:color="auto" w:fill="auto"/>
            <w:hideMark/>
          </w:tcPr>
          <w:p w14:paraId="030B7D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C1E8D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78ACD6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F73B7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B21E7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prime number finds as an opportunity to engage with potential backers on a deeper level, encouraging them to share their own experiences or connections with prime numbers and mathematics.</w:t>
            </w:r>
          </w:p>
        </w:tc>
        <w:tc>
          <w:tcPr>
            <w:tcW w:w="2566" w:type="dxa"/>
            <w:tcBorders>
              <w:top w:val="nil"/>
              <w:left w:val="nil"/>
              <w:bottom w:val="single" w:sz="4" w:space="0" w:color="auto"/>
              <w:right w:val="single" w:sz="4" w:space="0" w:color="auto"/>
            </w:tcBorders>
            <w:shd w:val="clear" w:color="auto" w:fill="auto"/>
            <w:hideMark/>
          </w:tcPr>
          <w:p w14:paraId="2947EFA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2AF80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50F0E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B8726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Frequency and Timing of Posts:</w:t>
            </w:r>
          </w:p>
        </w:tc>
        <w:tc>
          <w:tcPr>
            <w:tcW w:w="6762" w:type="dxa"/>
            <w:tcBorders>
              <w:top w:val="nil"/>
              <w:left w:val="nil"/>
              <w:bottom w:val="single" w:sz="4" w:space="0" w:color="auto"/>
              <w:right w:val="single" w:sz="4" w:space="0" w:color="auto"/>
            </w:tcBorders>
            <w:shd w:val="clear" w:color="auto" w:fill="auto"/>
            <w:hideMark/>
          </w:tcPr>
          <w:p w14:paraId="080959F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9CC56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15D33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E79DA3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B465B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AAFD8A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Determine the optimal frequency and timing of posts based on your audience's behavior and preferences. Experiment with different posting schedules to identify the times when your audience is most active and responsive.</w:t>
            </w:r>
          </w:p>
        </w:tc>
        <w:tc>
          <w:tcPr>
            <w:tcW w:w="2566" w:type="dxa"/>
            <w:tcBorders>
              <w:top w:val="nil"/>
              <w:left w:val="nil"/>
              <w:bottom w:val="single" w:sz="4" w:space="0" w:color="auto"/>
              <w:right w:val="single" w:sz="4" w:space="0" w:color="auto"/>
            </w:tcBorders>
            <w:shd w:val="clear" w:color="auto" w:fill="auto"/>
            <w:hideMark/>
          </w:tcPr>
          <w:p w14:paraId="771671B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281FF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75505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CE555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AD8A1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Balance the frequency of posts to maintain a consistent presence without overwhelming your audience with excessive content. Aim for a mix of campaign announcements, project updates, behind-the-scenes glimpses, and engaging visuals to keep your audience engaged and interested.</w:t>
            </w:r>
          </w:p>
        </w:tc>
        <w:tc>
          <w:tcPr>
            <w:tcW w:w="2566" w:type="dxa"/>
            <w:tcBorders>
              <w:top w:val="nil"/>
              <w:left w:val="nil"/>
              <w:bottom w:val="single" w:sz="4" w:space="0" w:color="auto"/>
              <w:right w:val="single" w:sz="4" w:space="0" w:color="auto"/>
            </w:tcBorders>
            <w:shd w:val="clear" w:color="auto" w:fill="auto"/>
            <w:hideMark/>
          </w:tcPr>
          <w:p w14:paraId="659805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4363F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25E98B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15DD2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BD2FDB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 the performance of your posts using analytics tools provided by social media platforms or third-party analytics tools. Evaluate engagement metrics such as likes, comments, shares, and click-through rates to refine your content strategy and optimize post frequency and timing.</w:t>
            </w:r>
          </w:p>
        </w:tc>
        <w:tc>
          <w:tcPr>
            <w:tcW w:w="2566" w:type="dxa"/>
            <w:tcBorders>
              <w:top w:val="nil"/>
              <w:left w:val="nil"/>
              <w:bottom w:val="single" w:sz="4" w:space="0" w:color="auto"/>
              <w:right w:val="single" w:sz="4" w:space="0" w:color="auto"/>
            </w:tcBorders>
            <w:shd w:val="clear" w:color="auto" w:fill="auto"/>
            <w:hideMark/>
          </w:tcPr>
          <w:p w14:paraId="685CEED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7514F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45F5E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BF685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Development</w:t>
            </w:r>
          </w:p>
        </w:tc>
        <w:tc>
          <w:tcPr>
            <w:tcW w:w="6762" w:type="dxa"/>
            <w:tcBorders>
              <w:top w:val="nil"/>
              <w:left w:val="nil"/>
              <w:bottom w:val="single" w:sz="4" w:space="0" w:color="auto"/>
              <w:right w:val="single" w:sz="4" w:space="0" w:color="auto"/>
            </w:tcBorders>
            <w:shd w:val="clear" w:color="auto" w:fill="auto"/>
            <w:hideMark/>
          </w:tcPr>
          <w:p w14:paraId="5F1391F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developing a content calendar that incorporates prime number finds and aligns with the interests and preferences of potential backers, you can create a compelling social media outreach strategy that captures attention, fosters engagement, and drives support for your crowdfunding campaign.</w:t>
            </w:r>
          </w:p>
        </w:tc>
        <w:tc>
          <w:tcPr>
            <w:tcW w:w="2566" w:type="dxa"/>
            <w:tcBorders>
              <w:top w:val="nil"/>
              <w:left w:val="nil"/>
              <w:bottom w:val="single" w:sz="4" w:space="0" w:color="auto"/>
              <w:right w:val="single" w:sz="4" w:space="0" w:color="auto"/>
            </w:tcBorders>
            <w:shd w:val="clear" w:color="auto" w:fill="auto"/>
            <w:hideMark/>
          </w:tcPr>
          <w:p w14:paraId="0CD4D8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C9E02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2B1A4B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09C72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2A94A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A9601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64B8E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6A8D7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4E6E2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Social Media Outreach:</w:t>
            </w:r>
          </w:p>
        </w:tc>
        <w:tc>
          <w:tcPr>
            <w:tcW w:w="6762" w:type="dxa"/>
            <w:tcBorders>
              <w:top w:val="nil"/>
              <w:left w:val="nil"/>
              <w:bottom w:val="single" w:sz="4" w:space="0" w:color="auto"/>
              <w:right w:val="single" w:sz="4" w:space="0" w:color="auto"/>
            </w:tcBorders>
            <w:shd w:val="clear" w:color="auto" w:fill="auto"/>
            <w:hideMark/>
          </w:tcPr>
          <w:p w14:paraId="09E5A27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Utilize hashtags, mentions, and tagging relevant influencers or partners to expand the campaign's reach and engagement.</w:t>
            </w:r>
          </w:p>
        </w:tc>
        <w:tc>
          <w:tcPr>
            <w:tcW w:w="2566" w:type="dxa"/>
            <w:tcBorders>
              <w:top w:val="nil"/>
              <w:left w:val="nil"/>
              <w:bottom w:val="single" w:sz="4" w:space="0" w:color="auto"/>
              <w:right w:val="single" w:sz="4" w:space="0" w:color="auto"/>
            </w:tcBorders>
            <w:shd w:val="clear" w:color="auto" w:fill="auto"/>
            <w:hideMark/>
          </w:tcPr>
          <w:p w14:paraId="499796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What are some unique hashtag examples to use?</w:t>
            </w:r>
          </w:p>
        </w:tc>
      </w:tr>
      <w:tr w:rsidR="0041317E" w:rsidRPr="0041317E" w14:paraId="3E40956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E1769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36B0E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42CAB1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Utilizing hashtags effectively is crucial for increasing visibility, engagement, and reach on social media platforms. Here's an extensive breakdown of unique hashtag examples that you can use for your crowdfunding campaign:</w:t>
            </w:r>
          </w:p>
        </w:tc>
        <w:tc>
          <w:tcPr>
            <w:tcW w:w="2566" w:type="dxa"/>
            <w:tcBorders>
              <w:top w:val="nil"/>
              <w:left w:val="nil"/>
              <w:bottom w:val="single" w:sz="4" w:space="0" w:color="auto"/>
              <w:right w:val="single" w:sz="4" w:space="0" w:color="auto"/>
            </w:tcBorders>
            <w:shd w:val="clear" w:color="auto" w:fill="auto"/>
            <w:hideMark/>
          </w:tcPr>
          <w:p w14:paraId="10AC54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94721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EAF5DB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AB072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Unique Hashtag Examples:</w:t>
            </w:r>
          </w:p>
        </w:tc>
        <w:tc>
          <w:tcPr>
            <w:tcW w:w="6762" w:type="dxa"/>
            <w:tcBorders>
              <w:top w:val="nil"/>
              <w:left w:val="nil"/>
              <w:bottom w:val="single" w:sz="4" w:space="0" w:color="auto"/>
              <w:right w:val="single" w:sz="4" w:space="0" w:color="auto"/>
            </w:tcBorders>
            <w:shd w:val="clear" w:color="auto" w:fill="auto"/>
            <w:hideMark/>
          </w:tcPr>
          <w:p w14:paraId="143E3C8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2A6082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80BF0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7EA1B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2ADF1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Campaign-Specific Hashtags:</w:t>
            </w:r>
          </w:p>
        </w:tc>
        <w:tc>
          <w:tcPr>
            <w:tcW w:w="6762" w:type="dxa"/>
            <w:tcBorders>
              <w:top w:val="nil"/>
              <w:left w:val="nil"/>
              <w:bottom w:val="single" w:sz="4" w:space="0" w:color="auto"/>
              <w:right w:val="single" w:sz="4" w:space="0" w:color="auto"/>
            </w:tcBorders>
            <w:shd w:val="clear" w:color="auto" w:fill="auto"/>
            <w:hideMark/>
          </w:tcPr>
          <w:p w14:paraId="16BE566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F061C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041FC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E2D6FE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2A83C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A0F209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#PrimeQuest: Highlighting the quest to discover prime numbers.</w:t>
            </w:r>
          </w:p>
        </w:tc>
        <w:tc>
          <w:tcPr>
            <w:tcW w:w="2566" w:type="dxa"/>
            <w:tcBorders>
              <w:top w:val="nil"/>
              <w:left w:val="nil"/>
              <w:bottom w:val="single" w:sz="4" w:space="0" w:color="auto"/>
              <w:right w:val="single" w:sz="4" w:space="0" w:color="auto"/>
            </w:tcBorders>
            <w:shd w:val="clear" w:color="auto" w:fill="auto"/>
            <w:hideMark/>
          </w:tcPr>
          <w:p w14:paraId="316342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8613E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14319C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420D3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F01C9D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#CountingPrimes: Emphasizing the core focus of the campaign.</w:t>
            </w:r>
          </w:p>
        </w:tc>
        <w:tc>
          <w:tcPr>
            <w:tcW w:w="2566" w:type="dxa"/>
            <w:tcBorders>
              <w:top w:val="nil"/>
              <w:left w:val="nil"/>
              <w:bottom w:val="single" w:sz="4" w:space="0" w:color="auto"/>
              <w:right w:val="single" w:sz="4" w:space="0" w:color="auto"/>
            </w:tcBorders>
            <w:shd w:val="clear" w:color="auto" w:fill="auto"/>
            <w:hideMark/>
          </w:tcPr>
          <w:p w14:paraId="52A985F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D54AC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EB73C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A60AD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AFA31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#PrimeDiscoveries: Celebrating new prime number finds and breakthroughs.</w:t>
            </w:r>
          </w:p>
        </w:tc>
        <w:tc>
          <w:tcPr>
            <w:tcW w:w="2566" w:type="dxa"/>
            <w:tcBorders>
              <w:top w:val="nil"/>
              <w:left w:val="nil"/>
              <w:bottom w:val="single" w:sz="4" w:space="0" w:color="auto"/>
              <w:right w:val="single" w:sz="4" w:space="0" w:color="auto"/>
            </w:tcBorders>
            <w:shd w:val="clear" w:color="auto" w:fill="auto"/>
            <w:hideMark/>
          </w:tcPr>
          <w:p w14:paraId="3B3B3E6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B7DAE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3A2CD4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AAB32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AA7B12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#PrimeRevolution: Signifying the transformative impact of prime number research.</w:t>
            </w:r>
          </w:p>
        </w:tc>
        <w:tc>
          <w:tcPr>
            <w:tcW w:w="2566" w:type="dxa"/>
            <w:tcBorders>
              <w:top w:val="nil"/>
              <w:left w:val="nil"/>
              <w:bottom w:val="single" w:sz="4" w:space="0" w:color="auto"/>
              <w:right w:val="single" w:sz="4" w:space="0" w:color="auto"/>
            </w:tcBorders>
            <w:shd w:val="clear" w:color="auto" w:fill="auto"/>
            <w:hideMark/>
          </w:tcPr>
          <w:p w14:paraId="2E4380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AE1B9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E5683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F9D1A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ED22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#UnlockThePrimes: Encouraging backers to join the effort to unlock the secrets of prime numbers.</w:t>
            </w:r>
          </w:p>
        </w:tc>
        <w:tc>
          <w:tcPr>
            <w:tcW w:w="2566" w:type="dxa"/>
            <w:tcBorders>
              <w:top w:val="nil"/>
              <w:left w:val="nil"/>
              <w:bottom w:val="single" w:sz="4" w:space="0" w:color="auto"/>
              <w:right w:val="single" w:sz="4" w:space="0" w:color="auto"/>
            </w:tcBorders>
            <w:shd w:val="clear" w:color="auto" w:fill="auto"/>
            <w:hideMark/>
          </w:tcPr>
          <w:p w14:paraId="355353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71531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A6539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4AE00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81FFE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#PrimePioneers: Recognizing backers as pioneers in the field of prime number exploration.</w:t>
            </w:r>
          </w:p>
        </w:tc>
        <w:tc>
          <w:tcPr>
            <w:tcW w:w="2566" w:type="dxa"/>
            <w:tcBorders>
              <w:top w:val="nil"/>
              <w:left w:val="nil"/>
              <w:bottom w:val="single" w:sz="4" w:space="0" w:color="auto"/>
              <w:right w:val="single" w:sz="4" w:space="0" w:color="auto"/>
            </w:tcBorders>
            <w:shd w:val="clear" w:color="auto" w:fill="auto"/>
            <w:hideMark/>
          </w:tcPr>
          <w:p w14:paraId="05432F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26246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F8DE18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13385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Engagement-Driven Hashtags:</w:t>
            </w:r>
          </w:p>
        </w:tc>
        <w:tc>
          <w:tcPr>
            <w:tcW w:w="6762" w:type="dxa"/>
            <w:tcBorders>
              <w:top w:val="nil"/>
              <w:left w:val="nil"/>
              <w:bottom w:val="single" w:sz="4" w:space="0" w:color="auto"/>
              <w:right w:val="single" w:sz="4" w:space="0" w:color="auto"/>
            </w:tcBorders>
            <w:shd w:val="clear" w:color="auto" w:fill="auto"/>
            <w:hideMark/>
          </w:tcPr>
          <w:p w14:paraId="5965322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41E62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AF301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B4F67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51AC5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4E1C1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#PrimeEnthusiasts: Engaging with individuals passionate about prime numbers.</w:t>
            </w:r>
          </w:p>
        </w:tc>
        <w:tc>
          <w:tcPr>
            <w:tcW w:w="2566" w:type="dxa"/>
            <w:tcBorders>
              <w:top w:val="nil"/>
              <w:left w:val="nil"/>
              <w:bottom w:val="single" w:sz="4" w:space="0" w:color="auto"/>
              <w:right w:val="single" w:sz="4" w:space="0" w:color="auto"/>
            </w:tcBorders>
            <w:shd w:val="clear" w:color="auto" w:fill="auto"/>
            <w:hideMark/>
          </w:tcPr>
          <w:p w14:paraId="279964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EC0C2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5D4076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2C73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E671FF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#MathematicsMatters: Highlighting the importance of mathematics in scientific research.</w:t>
            </w:r>
          </w:p>
        </w:tc>
        <w:tc>
          <w:tcPr>
            <w:tcW w:w="2566" w:type="dxa"/>
            <w:tcBorders>
              <w:top w:val="nil"/>
              <w:left w:val="nil"/>
              <w:bottom w:val="single" w:sz="4" w:space="0" w:color="auto"/>
              <w:right w:val="single" w:sz="4" w:space="0" w:color="auto"/>
            </w:tcBorders>
            <w:shd w:val="clear" w:color="auto" w:fill="auto"/>
            <w:hideMark/>
          </w:tcPr>
          <w:p w14:paraId="1541FF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9B91E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D9A42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E4D46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B61C1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#STEMSupporters: Appealing to supporters of science, technology, engineering, and mathematics.</w:t>
            </w:r>
          </w:p>
        </w:tc>
        <w:tc>
          <w:tcPr>
            <w:tcW w:w="2566" w:type="dxa"/>
            <w:tcBorders>
              <w:top w:val="nil"/>
              <w:left w:val="nil"/>
              <w:bottom w:val="single" w:sz="4" w:space="0" w:color="auto"/>
              <w:right w:val="single" w:sz="4" w:space="0" w:color="auto"/>
            </w:tcBorders>
            <w:shd w:val="clear" w:color="auto" w:fill="auto"/>
            <w:hideMark/>
          </w:tcPr>
          <w:p w14:paraId="3F5F49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ED9FA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C39FD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BFE2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4E48F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#DataDrivenDiscovery: Emphasizing the role of data in driving scientific discoveries.</w:t>
            </w:r>
          </w:p>
        </w:tc>
        <w:tc>
          <w:tcPr>
            <w:tcW w:w="2566" w:type="dxa"/>
            <w:tcBorders>
              <w:top w:val="nil"/>
              <w:left w:val="nil"/>
              <w:bottom w:val="single" w:sz="4" w:space="0" w:color="auto"/>
              <w:right w:val="single" w:sz="4" w:space="0" w:color="auto"/>
            </w:tcBorders>
            <w:shd w:val="clear" w:color="auto" w:fill="auto"/>
            <w:hideMark/>
          </w:tcPr>
          <w:p w14:paraId="1151BD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70658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2119CE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BC693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1C1D2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#InnovativeResearch: Showcasing the innovative nature of the campaign's research efforts.</w:t>
            </w:r>
          </w:p>
        </w:tc>
        <w:tc>
          <w:tcPr>
            <w:tcW w:w="2566" w:type="dxa"/>
            <w:tcBorders>
              <w:top w:val="nil"/>
              <w:left w:val="nil"/>
              <w:bottom w:val="single" w:sz="4" w:space="0" w:color="auto"/>
              <w:right w:val="single" w:sz="4" w:space="0" w:color="auto"/>
            </w:tcBorders>
            <w:shd w:val="clear" w:color="auto" w:fill="auto"/>
            <w:hideMark/>
          </w:tcPr>
          <w:p w14:paraId="6497E6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08CCD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CF2C14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EDC29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4E259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#DiscoverWithUs: Inviting backers to join the journey of discovery.</w:t>
            </w:r>
          </w:p>
        </w:tc>
        <w:tc>
          <w:tcPr>
            <w:tcW w:w="2566" w:type="dxa"/>
            <w:tcBorders>
              <w:top w:val="nil"/>
              <w:left w:val="nil"/>
              <w:bottom w:val="single" w:sz="4" w:space="0" w:color="auto"/>
              <w:right w:val="single" w:sz="4" w:space="0" w:color="auto"/>
            </w:tcBorders>
            <w:shd w:val="clear" w:color="auto" w:fill="auto"/>
            <w:hideMark/>
          </w:tcPr>
          <w:p w14:paraId="3C0507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F4907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4A722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E862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Community-Building Hashtags:</w:t>
            </w:r>
          </w:p>
        </w:tc>
        <w:tc>
          <w:tcPr>
            <w:tcW w:w="6762" w:type="dxa"/>
            <w:tcBorders>
              <w:top w:val="nil"/>
              <w:left w:val="nil"/>
              <w:bottom w:val="single" w:sz="4" w:space="0" w:color="auto"/>
              <w:right w:val="single" w:sz="4" w:space="0" w:color="auto"/>
            </w:tcBorders>
            <w:shd w:val="clear" w:color="auto" w:fill="auto"/>
            <w:hideMark/>
          </w:tcPr>
          <w:p w14:paraId="5008D47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CBC2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F85C5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D560F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9B84C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424DA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#PrimeCommunity: Fostering a sense of community among backers and supporters.</w:t>
            </w:r>
          </w:p>
        </w:tc>
        <w:tc>
          <w:tcPr>
            <w:tcW w:w="2566" w:type="dxa"/>
            <w:tcBorders>
              <w:top w:val="nil"/>
              <w:left w:val="nil"/>
              <w:bottom w:val="single" w:sz="4" w:space="0" w:color="auto"/>
              <w:right w:val="single" w:sz="4" w:space="0" w:color="auto"/>
            </w:tcBorders>
            <w:shd w:val="clear" w:color="auto" w:fill="auto"/>
            <w:hideMark/>
          </w:tcPr>
          <w:p w14:paraId="40AA5E8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D3A1F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CFB81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B223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7F777D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#MathGeeksUnite: Bringing together mathematics enthusiasts from around the world.</w:t>
            </w:r>
          </w:p>
        </w:tc>
        <w:tc>
          <w:tcPr>
            <w:tcW w:w="2566" w:type="dxa"/>
            <w:tcBorders>
              <w:top w:val="nil"/>
              <w:left w:val="nil"/>
              <w:bottom w:val="single" w:sz="4" w:space="0" w:color="auto"/>
              <w:right w:val="single" w:sz="4" w:space="0" w:color="auto"/>
            </w:tcBorders>
            <w:shd w:val="clear" w:color="auto" w:fill="auto"/>
            <w:hideMark/>
          </w:tcPr>
          <w:p w14:paraId="4BBE91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4A084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9FA6D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5269B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FADBB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#ScienceSquad: Creating a supportive network of science advocates and backers.</w:t>
            </w:r>
          </w:p>
        </w:tc>
        <w:tc>
          <w:tcPr>
            <w:tcW w:w="2566" w:type="dxa"/>
            <w:tcBorders>
              <w:top w:val="nil"/>
              <w:left w:val="nil"/>
              <w:bottom w:val="single" w:sz="4" w:space="0" w:color="auto"/>
              <w:right w:val="single" w:sz="4" w:space="0" w:color="auto"/>
            </w:tcBorders>
            <w:shd w:val="clear" w:color="auto" w:fill="auto"/>
            <w:hideMark/>
          </w:tcPr>
          <w:p w14:paraId="770EC9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0C169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C2CD9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9FC19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D26E0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#ResearchHeroes: Recognizing backers as heroes supporting groundbreaking research.</w:t>
            </w:r>
          </w:p>
        </w:tc>
        <w:tc>
          <w:tcPr>
            <w:tcW w:w="2566" w:type="dxa"/>
            <w:tcBorders>
              <w:top w:val="nil"/>
              <w:left w:val="nil"/>
              <w:bottom w:val="single" w:sz="4" w:space="0" w:color="auto"/>
              <w:right w:val="single" w:sz="4" w:space="0" w:color="auto"/>
            </w:tcBorders>
            <w:shd w:val="clear" w:color="auto" w:fill="auto"/>
            <w:hideMark/>
          </w:tcPr>
          <w:p w14:paraId="69D421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C7819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CCAD1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C3D7A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346D3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#CrowdfundingForScience: Advocating for crowdfunding as a means to support scientific projects.</w:t>
            </w:r>
          </w:p>
        </w:tc>
        <w:tc>
          <w:tcPr>
            <w:tcW w:w="2566" w:type="dxa"/>
            <w:tcBorders>
              <w:top w:val="nil"/>
              <w:left w:val="nil"/>
              <w:bottom w:val="single" w:sz="4" w:space="0" w:color="auto"/>
              <w:right w:val="single" w:sz="4" w:space="0" w:color="auto"/>
            </w:tcBorders>
            <w:shd w:val="clear" w:color="auto" w:fill="auto"/>
            <w:hideMark/>
          </w:tcPr>
          <w:p w14:paraId="0D4ED1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F2B08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7C2DB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5B746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48E802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#TogetherForDiscovery: Encouraging collaboration and teamwork in the pursuit of knowledge.</w:t>
            </w:r>
          </w:p>
        </w:tc>
        <w:tc>
          <w:tcPr>
            <w:tcW w:w="2566" w:type="dxa"/>
            <w:tcBorders>
              <w:top w:val="nil"/>
              <w:left w:val="nil"/>
              <w:bottom w:val="single" w:sz="4" w:space="0" w:color="auto"/>
              <w:right w:val="single" w:sz="4" w:space="0" w:color="auto"/>
            </w:tcBorders>
            <w:shd w:val="clear" w:color="auto" w:fill="auto"/>
            <w:hideMark/>
          </w:tcPr>
          <w:p w14:paraId="79D7D42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2C876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46B65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347C2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Campaign Milestone Hashtags:</w:t>
            </w:r>
          </w:p>
        </w:tc>
        <w:tc>
          <w:tcPr>
            <w:tcW w:w="6762" w:type="dxa"/>
            <w:tcBorders>
              <w:top w:val="nil"/>
              <w:left w:val="nil"/>
              <w:bottom w:val="single" w:sz="4" w:space="0" w:color="auto"/>
              <w:right w:val="single" w:sz="4" w:space="0" w:color="auto"/>
            </w:tcBorders>
            <w:shd w:val="clear" w:color="auto" w:fill="auto"/>
            <w:hideMark/>
          </w:tcPr>
          <w:p w14:paraId="038C4E9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B0EA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CFAF9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55428F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B4EAA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9A7E0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#FundTheFuture: Celebrating funding milestones and progress towards the campaign goal.</w:t>
            </w:r>
          </w:p>
        </w:tc>
        <w:tc>
          <w:tcPr>
            <w:tcW w:w="2566" w:type="dxa"/>
            <w:tcBorders>
              <w:top w:val="nil"/>
              <w:left w:val="nil"/>
              <w:bottom w:val="single" w:sz="4" w:space="0" w:color="auto"/>
              <w:right w:val="single" w:sz="4" w:space="0" w:color="auto"/>
            </w:tcBorders>
            <w:shd w:val="clear" w:color="auto" w:fill="auto"/>
            <w:hideMark/>
          </w:tcPr>
          <w:p w14:paraId="24E1B45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DF0A9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78F183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A15F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C6BCD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#GoalReached: Announcing when the campaign reaches its funding target.</w:t>
            </w:r>
          </w:p>
        </w:tc>
        <w:tc>
          <w:tcPr>
            <w:tcW w:w="2566" w:type="dxa"/>
            <w:tcBorders>
              <w:top w:val="nil"/>
              <w:left w:val="nil"/>
              <w:bottom w:val="single" w:sz="4" w:space="0" w:color="auto"/>
              <w:right w:val="single" w:sz="4" w:space="0" w:color="auto"/>
            </w:tcBorders>
            <w:shd w:val="clear" w:color="auto" w:fill="auto"/>
            <w:hideMark/>
          </w:tcPr>
          <w:p w14:paraId="4746B0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5F28A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0A7578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D64A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07772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#StretchGoalSuccess: Celebrating achievements beyond the initial funding goal.</w:t>
            </w:r>
          </w:p>
        </w:tc>
        <w:tc>
          <w:tcPr>
            <w:tcW w:w="2566" w:type="dxa"/>
            <w:tcBorders>
              <w:top w:val="nil"/>
              <w:left w:val="nil"/>
              <w:bottom w:val="single" w:sz="4" w:space="0" w:color="auto"/>
              <w:right w:val="single" w:sz="4" w:space="0" w:color="auto"/>
            </w:tcBorders>
            <w:shd w:val="clear" w:color="auto" w:fill="auto"/>
            <w:hideMark/>
          </w:tcPr>
          <w:p w14:paraId="5F7298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A0DFF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FA69A3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7798E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32D7F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#BackerAppreciation: Expressing gratitude to backers for their support and contributions.</w:t>
            </w:r>
          </w:p>
        </w:tc>
        <w:tc>
          <w:tcPr>
            <w:tcW w:w="2566" w:type="dxa"/>
            <w:tcBorders>
              <w:top w:val="nil"/>
              <w:left w:val="nil"/>
              <w:bottom w:val="single" w:sz="4" w:space="0" w:color="auto"/>
              <w:right w:val="single" w:sz="4" w:space="0" w:color="auto"/>
            </w:tcBorders>
            <w:shd w:val="clear" w:color="auto" w:fill="auto"/>
            <w:hideMark/>
          </w:tcPr>
          <w:p w14:paraId="219357E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4DA35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2BDABE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7973B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B5944C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#ProjectUpdates: Signaling updates on project developments and milestones.</w:t>
            </w:r>
          </w:p>
        </w:tc>
        <w:tc>
          <w:tcPr>
            <w:tcW w:w="2566" w:type="dxa"/>
            <w:tcBorders>
              <w:top w:val="nil"/>
              <w:left w:val="nil"/>
              <w:bottom w:val="single" w:sz="4" w:space="0" w:color="auto"/>
              <w:right w:val="single" w:sz="4" w:space="0" w:color="auto"/>
            </w:tcBorders>
            <w:shd w:val="clear" w:color="auto" w:fill="auto"/>
            <w:hideMark/>
          </w:tcPr>
          <w:p w14:paraId="4AAFF4C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B02DF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C80644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92B9B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EAE8A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#ImpactfulResearch: Highlighting the real-world impact of the campaign's research efforts.</w:t>
            </w:r>
          </w:p>
        </w:tc>
        <w:tc>
          <w:tcPr>
            <w:tcW w:w="2566" w:type="dxa"/>
            <w:tcBorders>
              <w:top w:val="nil"/>
              <w:left w:val="nil"/>
              <w:bottom w:val="single" w:sz="4" w:space="0" w:color="auto"/>
              <w:right w:val="single" w:sz="4" w:space="0" w:color="auto"/>
            </w:tcBorders>
            <w:shd w:val="clear" w:color="auto" w:fill="auto"/>
            <w:hideMark/>
          </w:tcPr>
          <w:p w14:paraId="3DED67B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A42EE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CE06B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7C35E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Prime Number Facts and Trivia Hashtags:</w:t>
            </w:r>
          </w:p>
        </w:tc>
        <w:tc>
          <w:tcPr>
            <w:tcW w:w="6762" w:type="dxa"/>
            <w:tcBorders>
              <w:top w:val="nil"/>
              <w:left w:val="nil"/>
              <w:bottom w:val="single" w:sz="4" w:space="0" w:color="auto"/>
              <w:right w:val="single" w:sz="4" w:space="0" w:color="auto"/>
            </w:tcBorders>
            <w:shd w:val="clear" w:color="auto" w:fill="auto"/>
            <w:hideMark/>
          </w:tcPr>
          <w:p w14:paraId="002D8EC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ECA4A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C2BDE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2A938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FAAFF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C3DBA4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#PrimeNumberFacts: Sharing interesting facts and trivia about prime numbers.</w:t>
            </w:r>
          </w:p>
        </w:tc>
        <w:tc>
          <w:tcPr>
            <w:tcW w:w="2566" w:type="dxa"/>
            <w:tcBorders>
              <w:top w:val="nil"/>
              <w:left w:val="nil"/>
              <w:bottom w:val="single" w:sz="4" w:space="0" w:color="auto"/>
              <w:right w:val="single" w:sz="4" w:space="0" w:color="auto"/>
            </w:tcBorders>
            <w:shd w:val="clear" w:color="auto" w:fill="auto"/>
            <w:hideMark/>
          </w:tcPr>
          <w:p w14:paraId="3720E3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F823B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0FCC5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43C6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35901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#MathFunFacts: Educating and entertaining followers with fun mathematics facts.</w:t>
            </w:r>
          </w:p>
        </w:tc>
        <w:tc>
          <w:tcPr>
            <w:tcW w:w="2566" w:type="dxa"/>
            <w:tcBorders>
              <w:top w:val="nil"/>
              <w:left w:val="nil"/>
              <w:bottom w:val="single" w:sz="4" w:space="0" w:color="auto"/>
              <w:right w:val="single" w:sz="4" w:space="0" w:color="auto"/>
            </w:tcBorders>
            <w:shd w:val="clear" w:color="auto" w:fill="auto"/>
            <w:hideMark/>
          </w:tcPr>
          <w:p w14:paraId="34E63E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4671C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D7F09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94EFD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C20AB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#PrimeTriviaThursday: Creating a recurring hashtag for sharing prime number trivia on Thursdays.</w:t>
            </w:r>
          </w:p>
        </w:tc>
        <w:tc>
          <w:tcPr>
            <w:tcW w:w="2566" w:type="dxa"/>
            <w:tcBorders>
              <w:top w:val="nil"/>
              <w:left w:val="nil"/>
              <w:bottom w:val="single" w:sz="4" w:space="0" w:color="auto"/>
              <w:right w:val="single" w:sz="4" w:space="0" w:color="auto"/>
            </w:tcBorders>
            <w:shd w:val="clear" w:color="auto" w:fill="auto"/>
            <w:hideMark/>
          </w:tcPr>
          <w:p w14:paraId="5021A8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5B149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787AA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A5983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DCE59E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#MathMonday: Sharing mathematical insights and discoveries every Monday.</w:t>
            </w:r>
          </w:p>
        </w:tc>
        <w:tc>
          <w:tcPr>
            <w:tcW w:w="2566" w:type="dxa"/>
            <w:tcBorders>
              <w:top w:val="nil"/>
              <w:left w:val="nil"/>
              <w:bottom w:val="single" w:sz="4" w:space="0" w:color="auto"/>
              <w:right w:val="single" w:sz="4" w:space="0" w:color="auto"/>
            </w:tcBorders>
            <w:shd w:val="clear" w:color="auto" w:fill="auto"/>
            <w:hideMark/>
          </w:tcPr>
          <w:p w14:paraId="705B51B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2C940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3313A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A4A8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D8BD2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#PrimePuzzleChallenge: Engaging followers with prime number puzzles and challenges.</w:t>
            </w:r>
          </w:p>
        </w:tc>
        <w:tc>
          <w:tcPr>
            <w:tcW w:w="2566" w:type="dxa"/>
            <w:tcBorders>
              <w:top w:val="nil"/>
              <w:left w:val="nil"/>
              <w:bottom w:val="single" w:sz="4" w:space="0" w:color="auto"/>
              <w:right w:val="single" w:sz="4" w:space="0" w:color="auto"/>
            </w:tcBorders>
            <w:shd w:val="clear" w:color="auto" w:fill="auto"/>
            <w:hideMark/>
          </w:tcPr>
          <w:p w14:paraId="52DD69B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4FA9D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0388E0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ACFA6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B0E4DA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#DidYouKnowPrime: Encouraging followers to learn interesting facts about prime numbers.</w:t>
            </w:r>
          </w:p>
        </w:tc>
        <w:tc>
          <w:tcPr>
            <w:tcW w:w="2566" w:type="dxa"/>
            <w:tcBorders>
              <w:top w:val="nil"/>
              <w:left w:val="nil"/>
              <w:bottom w:val="single" w:sz="4" w:space="0" w:color="auto"/>
              <w:right w:val="single" w:sz="4" w:space="0" w:color="auto"/>
            </w:tcBorders>
            <w:shd w:val="clear" w:color="auto" w:fill="auto"/>
            <w:hideMark/>
          </w:tcPr>
          <w:p w14:paraId="6EC5E7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FEA00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034675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6C54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Incorporation:</w:t>
            </w:r>
          </w:p>
        </w:tc>
        <w:tc>
          <w:tcPr>
            <w:tcW w:w="6762" w:type="dxa"/>
            <w:tcBorders>
              <w:top w:val="nil"/>
              <w:left w:val="nil"/>
              <w:bottom w:val="single" w:sz="4" w:space="0" w:color="auto"/>
              <w:right w:val="single" w:sz="4" w:space="0" w:color="auto"/>
            </w:tcBorders>
            <w:shd w:val="clear" w:color="auto" w:fill="auto"/>
            <w:hideMark/>
          </w:tcPr>
          <w:p w14:paraId="17FA8C2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incorporating these unique hashtag examples into your social media outreach strategy, you can enhance the visibility, engagement, and impact of your crowdfunding campaign. Remember to research trending hashtags in the mathematics, science, and crowdfunding communities to further amplify your campaign's reach and effectiveness.</w:t>
            </w:r>
          </w:p>
        </w:tc>
        <w:tc>
          <w:tcPr>
            <w:tcW w:w="2566" w:type="dxa"/>
            <w:tcBorders>
              <w:top w:val="nil"/>
              <w:left w:val="nil"/>
              <w:bottom w:val="single" w:sz="4" w:space="0" w:color="auto"/>
              <w:right w:val="single" w:sz="4" w:space="0" w:color="auto"/>
            </w:tcBorders>
            <w:shd w:val="clear" w:color="auto" w:fill="auto"/>
            <w:hideMark/>
          </w:tcPr>
          <w:p w14:paraId="01DEA8C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A39C3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44D36E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404C6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ABF06D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7766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515D91" w14:textId="77777777" w:rsidTr="0041317E">
        <w:trPr>
          <w:trHeight w:val="2304"/>
        </w:trPr>
        <w:tc>
          <w:tcPr>
            <w:tcW w:w="1349" w:type="dxa"/>
            <w:tcBorders>
              <w:top w:val="nil"/>
              <w:left w:val="single" w:sz="4" w:space="0" w:color="auto"/>
              <w:bottom w:val="single" w:sz="4" w:space="0" w:color="auto"/>
              <w:right w:val="single" w:sz="4" w:space="0" w:color="auto"/>
            </w:tcBorders>
            <w:shd w:val="clear" w:color="auto" w:fill="auto"/>
            <w:hideMark/>
          </w:tcPr>
          <w:p w14:paraId="57AC6C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BDF84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Social Media Outreach:</w:t>
            </w:r>
          </w:p>
        </w:tc>
        <w:tc>
          <w:tcPr>
            <w:tcW w:w="6762" w:type="dxa"/>
            <w:tcBorders>
              <w:top w:val="nil"/>
              <w:left w:val="nil"/>
              <w:bottom w:val="single" w:sz="4" w:space="0" w:color="auto"/>
              <w:right w:val="single" w:sz="4" w:space="0" w:color="auto"/>
            </w:tcBorders>
            <w:shd w:val="clear" w:color="auto" w:fill="auto"/>
            <w:hideMark/>
          </w:tcPr>
          <w:p w14:paraId="6EEA62A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 Encourage followers to share campaign posts with their networks and participate in conversations about the project.</w:t>
            </w:r>
          </w:p>
        </w:tc>
        <w:tc>
          <w:tcPr>
            <w:tcW w:w="2566" w:type="dxa"/>
            <w:tcBorders>
              <w:top w:val="nil"/>
              <w:left w:val="nil"/>
              <w:bottom w:val="single" w:sz="4" w:space="0" w:color="auto"/>
              <w:right w:val="single" w:sz="4" w:space="0" w:color="auto"/>
            </w:tcBorders>
            <w:shd w:val="clear" w:color="auto" w:fill="auto"/>
            <w:hideMark/>
          </w:tcPr>
          <w:p w14:paraId="30D891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Create form of Prime Tag post game to generate primes found grafitti tag that can be posted back and forth upon forums.  Milestones within primebookone that outputs these graphics.</w:t>
            </w:r>
          </w:p>
        </w:tc>
      </w:tr>
      <w:tr w:rsidR="0041317E" w:rsidRPr="0041317E" w14:paraId="3E63AE1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F7F6D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9D66F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841BD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Creating a Prime Tag post game is an innovative way to engage followers and encourage them to share campaign posts with their networks. Let's delve into extreme detail on how this strategy can be implemented:</w:t>
            </w:r>
          </w:p>
        </w:tc>
        <w:tc>
          <w:tcPr>
            <w:tcW w:w="2566" w:type="dxa"/>
            <w:tcBorders>
              <w:top w:val="nil"/>
              <w:left w:val="nil"/>
              <w:bottom w:val="single" w:sz="4" w:space="0" w:color="auto"/>
              <w:right w:val="single" w:sz="4" w:space="0" w:color="auto"/>
            </w:tcBorders>
            <w:shd w:val="clear" w:color="auto" w:fill="auto"/>
            <w:hideMark/>
          </w:tcPr>
          <w:p w14:paraId="6A2C3E6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E390E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11AA80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AD288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Prime Tag Post Game:</w:t>
            </w:r>
          </w:p>
        </w:tc>
        <w:tc>
          <w:tcPr>
            <w:tcW w:w="6762" w:type="dxa"/>
            <w:tcBorders>
              <w:top w:val="nil"/>
              <w:left w:val="nil"/>
              <w:bottom w:val="single" w:sz="4" w:space="0" w:color="auto"/>
              <w:right w:val="single" w:sz="4" w:space="0" w:color="auto"/>
            </w:tcBorders>
            <w:shd w:val="clear" w:color="auto" w:fill="auto"/>
            <w:hideMark/>
          </w:tcPr>
          <w:p w14:paraId="7BF892E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A290C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00361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C3C10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61D70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Concept Development:</w:t>
            </w:r>
          </w:p>
        </w:tc>
        <w:tc>
          <w:tcPr>
            <w:tcW w:w="6762" w:type="dxa"/>
            <w:tcBorders>
              <w:top w:val="nil"/>
              <w:left w:val="nil"/>
              <w:bottom w:val="single" w:sz="4" w:space="0" w:color="auto"/>
              <w:right w:val="single" w:sz="4" w:space="0" w:color="auto"/>
            </w:tcBorders>
            <w:shd w:val="clear" w:color="auto" w:fill="auto"/>
            <w:hideMark/>
          </w:tcPr>
          <w:p w14:paraId="1F82B7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D4FD2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0AE2E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5277B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BD90B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165D18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 Tag post game revolves around the concept of generating primes found graffiti tags that backers can share across social media platforms.</w:t>
            </w:r>
          </w:p>
        </w:tc>
        <w:tc>
          <w:tcPr>
            <w:tcW w:w="2566" w:type="dxa"/>
            <w:tcBorders>
              <w:top w:val="nil"/>
              <w:left w:val="nil"/>
              <w:bottom w:val="single" w:sz="4" w:space="0" w:color="auto"/>
              <w:right w:val="single" w:sz="4" w:space="0" w:color="auto"/>
            </w:tcBorders>
            <w:shd w:val="clear" w:color="auto" w:fill="auto"/>
            <w:hideMark/>
          </w:tcPr>
          <w:p w14:paraId="5A2373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08716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5AEBB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57A32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1ACF0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Backers are encouraged to participate in creating and sharing these tags, fostering a sense of community engagement and involvement in the campaign.</w:t>
            </w:r>
          </w:p>
        </w:tc>
        <w:tc>
          <w:tcPr>
            <w:tcW w:w="2566" w:type="dxa"/>
            <w:tcBorders>
              <w:top w:val="nil"/>
              <w:left w:val="nil"/>
              <w:bottom w:val="single" w:sz="4" w:space="0" w:color="auto"/>
              <w:right w:val="single" w:sz="4" w:space="0" w:color="auto"/>
            </w:tcBorders>
            <w:shd w:val="clear" w:color="auto" w:fill="auto"/>
            <w:hideMark/>
          </w:tcPr>
          <w:p w14:paraId="3B84504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D0641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F2A2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486A4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Milestone-Based Graphics:</w:t>
            </w:r>
          </w:p>
        </w:tc>
        <w:tc>
          <w:tcPr>
            <w:tcW w:w="6762" w:type="dxa"/>
            <w:tcBorders>
              <w:top w:val="nil"/>
              <w:left w:val="nil"/>
              <w:bottom w:val="single" w:sz="4" w:space="0" w:color="auto"/>
              <w:right w:val="single" w:sz="4" w:space="0" w:color="auto"/>
            </w:tcBorders>
            <w:shd w:val="clear" w:color="auto" w:fill="auto"/>
            <w:hideMark/>
          </w:tcPr>
          <w:p w14:paraId="5422735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AEF3E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89255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79DEC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8F71F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A13D4C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PrimeBookOne can develop milestone-based graphics that visually represent significant achievements or discoveries during the crowdfunding campaign.</w:t>
            </w:r>
          </w:p>
        </w:tc>
        <w:tc>
          <w:tcPr>
            <w:tcW w:w="2566" w:type="dxa"/>
            <w:tcBorders>
              <w:top w:val="nil"/>
              <w:left w:val="nil"/>
              <w:bottom w:val="single" w:sz="4" w:space="0" w:color="auto"/>
              <w:right w:val="single" w:sz="4" w:space="0" w:color="auto"/>
            </w:tcBorders>
            <w:shd w:val="clear" w:color="auto" w:fill="auto"/>
            <w:hideMark/>
          </w:tcPr>
          <w:p w14:paraId="75D63A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65977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669B5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687D4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9A1C2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These graphics could include prime number patterns, visually appealing prime-related artwork, or interactive elements that showcase the progress of the campaign.</w:t>
            </w:r>
          </w:p>
        </w:tc>
        <w:tc>
          <w:tcPr>
            <w:tcW w:w="2566" w:type="dxa"/>
            <w:tcBorders>
              <w:top w:val="nil"/>
              <w:left w:val="nil"/>
              <w:bottom w:val="single" w:sz="4" w:space="0" w:color="auto"/>
              <w:right w:val="single" w:sz="4" w:space="0" w:color="auto"/>
            </w:tcBorders>
            <w:shd w:val="clear" w:color="auto" w:fill="auto"/>
            <w:hideMark/>
          </w:tcPr>
          <w:p w14:paraId="6A37C3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3CFAC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C71C8E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34A01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Interactive Elements:</w:t>
            </w:r>
          </w:p>
        </w:tc>
        <w:tc>
          <w:tcPr>
            <w:tcW w:w="6762" w:type="dxa"/>
            <w:tcBorders>
              <w:top w:val="nil"/>
              <w:left w:val="nil"/>
              <w:bottom w:val="single" w:sz="4" w:space="0" w:color="auto"/>
              <w:right w:val="single" w:sz="4" w:space="0" w:color="auto"/>
            </w:tcBorders>
            <w:shd w:val="clear" w:color="auto" w:fill="auto"/>
            <w:hideMark/>
          </w:tcPr>
          <w:p w14:paraId="51EE03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30CC06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6782D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D6D0D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AC526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E1FDE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Incorporate interactive elements into the graphics, allowing backers to customize and personalize their prime tags.</w:t>
            </w:r>
          </w:p>
        </w:tc>
        <w:tc>
          <w:tcPr>
            <w:tcW w:w="2566" w:type="dxa"/>
            <w:tcBorders>
              <w:top w:val="nil"/>
              <w:left w:val="nil"/>
              <w:bottom w:val="single" w:sz="4" w:space="0" w:color="auto"/>
              <w:right w:val="single" w:sz="4" w:space="0" w:color="auto"/>
            </w:tcBorders>
            <w:shd w:val="clear" w:color="auto" w:fill="auto"/>
            <w:hideMark/>
          </w:tcPr>
          <w:p w14:paraId="44D661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8C56F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113E21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D5D17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FD2A4B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Backers can input their favorite prime numbers, customize color schemes, or add personal messages to the graphics before sharing them on social media.</w:t>
            </w:r>
          </w:p>
        </w:tc>
        <w:tc>
          <w:tcPr>
            <w:tcW w:w="2566" w:type="dxa"/>
            <w:tcBorders>
              <w:top w:val="nil"/>
              <w:left w:val="nil"/>
              <w:bottom w:val="single" w:sz="4" w:space="0" w:color="auto"/>
              <w:right w:val="single" w:sz="4" w:space="0" w:color="auto"/>
            </w:tcBorders>
            <w:shd w:val="clear" w:color="auto" w:fill="auto"/>
            <w:hideMark/>
          </w:tcPr>
          <w:p w14:paraId="4F05E7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5DDB1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2F1A3D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28367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Sharing Mechanics:</w:t>
            </w:r>
          </w:p>
        </w:tc>
        <w:tc>
          <w:tcPr>
            <w:tcW w:w="6762" w:type="dxa"/>
            <w:tcBorders>
              <w:top w:val="nil"/>
              <w:left w:val="nil"/>
              <w:bottom w:val="single" w:sz="4" w:space="0" w:color="auto"/>
              <w:right w:val="single" w:sz="4" w:space="0" w:color="auto"/>
            </w:tcBorders>
            <w:shd w:val="clear" w:color="auto" w:fill="auto"/>
            <w:hideMark/>
          </w:tcPr>
          <w:p w14:paraId="30BE63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300B64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C35FB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4AB19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10B27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29B318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backers with easy-to-use tools to share their prime tags across various social media platforms.</w:t>
            </w:r>
          </w:p>
        </w:tc>
        <w:tc>
          <w:tcPr>
            <w:tcW w:w="2566" w:type="dxa"/>
            <w:tcBorders>
              <w:top w:val="nil"/>
              <w:left w:val="nil"/>
              <w:bottom w:val="single" w:sz="4" w:space="0" w:color="auto"/>
              <w:right w:val="single" w:sz="4" w:space="0" w:color="auto"/>
            </w:tcBorders>
            <w:shd w:val="clear" w:color="auto" w:fill="auto"/>
            <w:hideMark/>
          </w:tcPr>
          <w:p w14:paraId="26C71D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D6627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53C9DE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82119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E8A41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social sharing buttons directly within the graphics, enabling backers to post their prime tags with just a few clicks.</w:t>
            </w:r>
          </w:p>
        </w:tc>
        <w:tc>
          <w:tcPr>
            <w:tcW w:w="2566" w:type="dxa"/>
            <w:tcBorders>
              <w:top w:val="nil"/>
              <w:left w:val="nil"/>
              <w:bottom w:val="single" w:sz="4" w:space="0" w:color="auto"/>
              <w:right w:val="single" w:sz="4" w:space="0" w:color="auto"/>
            </w:tcBorders>
            <w:shd w:val="clear" w:color="auto" w:fill="auto"/>
            <w:hideMark/>
          </w:tcPr>
          <w:p w14:paraId="38EB09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B2325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A8D03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CBC77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Gamification Features:</w:t>
            </w:r>
          </w:p>
        </w:tc>
        <w:tc>
          <w:tcPr>
            <w:tcW w:w="6762" w:type="dxa"/>
            <w:tcBorders>
              <w:top w:val="nil"/>
              <w:left w:val="nil"/>
              <w:bottom w:val="single" w:sz="4" w:space="0" w:color="auto"/>
              <w:right w:val="single" w:sz="4" w:space="0" w:color="auto"/>
            </w:tcBorders>
            <w:shd w:val="clear" w:color="auto" w:fill="auto"/>
            <w:hideMark/>
          </w:tcPr>
          <w:p w14:paraId="1AAF55F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38231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F8FBB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3417B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369B8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F829F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Introduce gamification features to incentivize participation and engagement in the Prime Tag post game.</w:t>
            </w:r>
          </w:p>
        </w:tc>
        <w:tc>
          <w:tcPr>
            <w:tcW w:w="2566" w:type="dxa"/>
            <w:tcBorders>
              <w:top w:val="nil"/>
              <w:left w:val="nil"/>
              <w:bottom w:val="single" w:sz="4" w:space="0" w:color="auto"/>
              <w:right w:val="single" w:sz="4" w:space="0" w:color="auto"/>
            </w:tcBorders>
            <w:shd w:val="clear" w:color="auto" w:fill="auto"/>
            <w:hideMark/>
          </w:tcPr>
          <w:p w14:paraId="626D9B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F29E5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7DEA3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27F36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EB1BDB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rewards or recognition for backers who generate the most creative or widely shared prime tags.</w:t>
            </w:r>
          </w:p>
        </w:tc>
        <w:tc>
          <w:tcPr>
            <w:tcW w:w="2566" w:type="dxa"/>
            <w:tcBorders>
              <w:top w:val="nil"/>
              <w:left w:val="nil"/>
              <w:bottom w:val="single" w:sz="4" w:space="0" w:color="auto"/>
              <w:right w:val="single" w:sz="4" w:space="0" w:color="auto"/>
            </w:tcBorders>
            <w:shd w:val="clear" w:color="auto" w:fill="auto"/>
            <w:hideMark/>
          </w:tcPr>
          <w:p w14:paraId="53C8D72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30652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B0C7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F44B9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7039E5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leaderboards or challenges to encourage friendly competition among backers.</w:t>
            </w:r>
          </w:p>
        </w:tc>
        <w:tc>
          <w:tcPr>
            <w:tcW w:w="2566" w:type="dxa"/>
            <w:tcBorders>
              <w:top w:val="nil"/>
              <w:left w:val="nil"/>
              <w:bottom w:val="single" w:sz="4" w:space="0" w:color="auto"/>
              <w:right w:val="single" w:sz="4" w:space="0" w:color="auto"/>
            </w:tcBorders>
            <w:shd w:val="clear" w:color="auto" w:fill="auto"/>
            <w:hideMark/>
          </w:tcPr>
          <w:p w14:paraId="40DD5C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0CABD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6A50D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F8C97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6. Community Engagement:</w:t>
            </w:r>
          </w:p>
        </w:tc>
        <w:tc>
          <w:tcPr>
            <w:tcW w:w="6762" w:type="dxa"/>
            <w:tcBorders>
              <w:top w:val="nil"/>
              <w:left w:val="nil"/>
              <w:bottom w:val="single" w:sz="4" w:space="0" w:color="auto"/>
              <w:right w:val="single" w:sz="4" w:space="0" w:color="auto"/>
            </w:tcBorders>
            <w:shd w:val="clear" w:color="auto" w:fill="auto"/>
            <w:hideMark/>
          </w:tcPr>
          <w:p w14:paraId="375626A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F1502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6AFF0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528D62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ABA25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7F516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Foster a sense of community by encouraging backers to engage in conversations about the campaign and prime numbers.</w:t>
            </w:r>
          </w:p>
        </w:tc>
        <w:tc>
          <w:tcPr>
            <w:tcW w:w="2566" w:type="dxa"/>
            <w:tcBorders>
              <w:top w:val="nil"/>
              <w:left w:val="nil"/>
              <w:bottom w:val="single" w:sz="4" w:space="0" w:color="auto"/>
              <w:right w:val="single" w:sz="4" w:space="0" w:color="auto"/>
            </w:tcBorders>
            <w:shd w:val="clear" w:color="auto" w:fill="auto"/>
            <w:hideMark/>
          </w:tcPr>
          <w:p w14:paraId="40628A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94DAA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6C73A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19B4A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35307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dedicated hashtags for the Prime Tag post game, allowing backers to easily discover and share each other's creations.</w:t>
            </w:r>
          </w:p>
        </w:tc>
        <w:tc>
          <w:tcPr>
            <w:tcW w:w="2566" w:type="dxa"/>
            <w:tcBorders>
              <w:top w:val="nil"/>
              <w:left w:val="nil"/>
              <w:bottom w:val="single" w:sz="4" w:space="0" w:color="auto"/>
              <w:right w:val="single" w:sz="4" w:space="0" w:color="auto"/>
            </w:tcBorders>
            <w:shd w:val="clear" w:color="auto" w:fill="auto"/>
            <w:hideMark/>
          </w:tcPr>
          <w:p w14:paraId="3890C9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3000E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A94B0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49BFC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4FD9B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Host live events or virtual meetups where backers can showcase their prime tags and discuss their experiences with the campaign.</w:t>
            </w:r>
          </w:p>
        </w:tc>
        <w:tc>
          <w:tcPr>
            <w:tcW w:w="2566" w:type="dxa"/>
            <w:tcBorders>
              <w:top w:val="nil"/>
              <w:left w:val="nil"/>
              <w:bottom w:val="single" w:sz="4" w:space="0" w:color="auto"/>
              <w:right w:val="single" w:sz="4" w:space="0" w:color="auto"/>
            </w:tcBorders>
            <w:shd w:val="clear" w:color="auto" w:fill="auto"/>
            <w:hideMark/>
          </w:tcPr>
          <w:p w14:paraId="1760FF5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F3B31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FA03B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192D3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7. Tracking and Analytics:</w:t>
            </w:r>
          </w:p>
        </w:tc>
        <w:tc>
          <w:tcPr>
            <w:tcW w:w="6762" w:type="dxa"/>
            <w:tcBorders>
              <w:top w:val="nil"/>
              <w:left w:val="nil"/>
              <w:bottom w:val="single" w:sz="4" w:space="0" w:color="auto"/>
              <w:right w:val="single" w:sz="4" w:space="0" w:color="auto"/>
            </w:tcBorders>
            <w:shd w:val="clear" w:color="auto" w:fill="auto"/>
            <w:hideMark/>
          </w:tcPr>
          <w:p w14:paraId="6DE8A2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B1A4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F5C4A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52AD01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7E3F4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4D50D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tracking mechanisms to monitor the reach and engagement of prime tags across social media platforms.</w:t>
            </w:r>
          </w:p>
        </w:tc>
        <w:tc>
          <w:tcPr>
            <w:tcW w:w="2566" w:type="dxa"/>
            <w:tcBorders>
              <w:top w:val="nil"/>
              <w:left w:val="nil"/>
              <w:bottom w:val="single" w:sz="4" w:space="0" w:color="auto"/>
              <w:right w:val="single" w:sz="4" w:space="0" w:color="auto"/>
            </w:tcBorders>
            <w:shd w:val="clear" w:color="auto" w:fill="auto"/>
            <w:hideMark/>
          </w:tcPr>
          <w:p w14:paraId="45242D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1C007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A855F5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A7099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828755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Analyze metrics such as likes, shares, and comments to gauge the effectiveness of the Prime Tag post game and adjust strategies accordingly.</w:t>
            </w:r>
          </w:p>
        </w:tc>
        <w:tc>
          <w:tcPr>
            <w:tcW w:w="2566" w:type="dxa"/>
            <w:tcBorders>
              <w:top w:val="nil"/>
              <w:left w:val="nil"/>
              <w:bottom w:val="single" w:sz="4" w:space="0" w:color="auto"/>
              <w:right w:val="single" w:sz="4" w:space="0" w:color="auto"/>
            </w:tcBorders>
            <w:shd w:val="clear" w:color="auto" w:fill="auto"/>
            <w:hideMark/>
          </w:tcPr>
          <w:p w14:paraId="6329A7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DCF2E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D4ADF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6C03A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6D5815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7D119F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E1D8C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65FD6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A3587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8. Continuous Iteration:</w:t>
            </w:r>
          </w:p>
        </w:tc>
        <w:tc>
          <w:tcPr>
            <w:tcW w:w="6762" w:type="dxa"/>
            <w:tcBorders>
              <w:top w:val="nil"/>
              <w:left w:val="nil"/>
              <w:bottom w:val="single" w:sz="4" w:space="0" w:color="auto"/>
              <w:right w:val="single" w:sz="4" w:space="0" w:color="auto"/>
            </w:tcBorders>
            <w:shd w:val="clear" w:color="auto" w:fill="auto"/>
            <w:hideMark/>
          </w:tcPr>
          <w:p w14:paraId="56847E8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3F5EF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F8EC8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F458C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2824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FC28C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Continuously iterate on the Prime Tag post game based on feedback from backers and insights from analytics.</w:t>
            </w:r>
          </w:p>
        </w:tc>
        <w:tc>
          <w:tcPr>
            <w:tcW w:w="2566" w:type="dxa"/>
            <w:tcBorders>
              <w:top w:val="nil"/>
              <w:left w:val="nil"/>
              <w:bottom w:val="single" w:sz="4" w:space="0" w:color="auto"/>
              <w:right w:val="single" w:sz="4" w:space="0" w:color="auto"/>
            </w:tcBorders>
            <w:shd w:val="clear" w:color="auto" w:fill="auto"/>
            <w:hideMark/>
          </w:tcPr>
          <w:p w14:paraId="44B5C9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F2F2E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49721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FB93F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688C2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Experiment with new graphic designs, interactive features, or gamification elements to keep the campaign fresh and engaging throughout its duration.</w:t>
            </w:r>
          </w:p>
        </w:tc>
        <w:tc>
          <w:tcPr>
            <w:tcW w:w="2566" w:type="dxa"/>
            <w:tcBorders>
              <w:top w:val="nil"/>
              <w:left w:val="nil"/>
              <w:bottom w:val="single" w:sz="4" w:space="0" w:color="auto"/>
              <w:right w:val="single" w:sz="4" w:space="0" w:color="auto"/>
            </w:tcBorders>
            <w:shd w:val="clear" w:color="auto" w:fill="auto"/>
            <w:hideMark/>
          </w:tcPr>
          <w:p w14:paraId="2FD48B5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B0B429"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0E5D87C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2D7F9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2D843EC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 Prime Tag post game as part of the social media outreach strategy, PrimeBookOne can leverage the creativity and enthusiasm of backers to amplify the campaign's reach and engagement. This interactive and community-driven approach can generate excitement and momentum, ultimately driving support for the crowdfunding campaign.</w:t>
            </w:r>
          </w:p>
        </w:tc>
        <w:tc>
          <w:tcPr>
            <w:tcW w:w="2566" w:type="dxa"/>
            <w:tcBorders>
              <w:top w:val="nil"/>
              <w:left w:val="nil"/>
              <w:bottom w:val="single" w:sz="4" w:space="0" w:color="auto"/>
              <w:right w:val="single" w:sz="4" w:space="0" w:color="auto"/>
            </w:tcBorders>
            <w:shd w:val="clear" w:color="auto" w:fill="auto"/>
            <w:hideMark/>
          </w:tcPr>
          <w:p w14:paraId="45688B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E6359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3FC6F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41C28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CF885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BAE0AE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021E9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0A28F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61B9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Email Newsletters:</w:t>
            </w:r>
          </w:p>
        </w:tc>
        <w:tc>
          <w:tcPr>
            <w:tcW w:w="6762" w:type="dxa"/>
            <w:tcBorders>
              <w:top w:val="nil"/>
              <w:left w:val="nil"/>
              <w:bottom w:val="single" w:sz="4" w:space="0" w:color="auto"/>
              <w:right w:val="single" w:sz="4" w:space="0" w:color="auto"/>
            </w:tcBorders>
            <w:shd w:val="clear" w:color="auto" w:fill="auto"/>
            <w:hideMark/>
          </w:tcPr>
          <w:p w14:paraId="3B25765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Build and maintain an email list of subscribers interested in the project or related topics.</w:t>
            </w:r>
          </w:p>
        </w:tc>
        <w:tc>
          <w:tcPr>
            <w:tcW w:w="2566" w:type="dxa"/>
            <w:tcBorders>
              <w:top w:val="nil"/>
              <w:left w:val="nil"/>
              <w:bottom w:val="single" w:sz="4" w:space="0" w:color="auto"/>
              <w:right w:val="single" w:sz="4" w:space="0" w:color="auto"/>
            </w:tcBorders>
            <w:shd w:val="clear" w:color="auto" w:fill="auto"/>
            <w:hideMark/>
          </w:tcPr>
          <w:p w14:paraId="273A7E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E2D12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E5BB8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B5A13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5F59E8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Building and maintaining an email list of subscribers is a crucial component of the communication strategy for the crowdfunding campaign. Let's delve into extreme detail on how this can be accomplished:</w:t>
            </w:r>
          </w:p>
        </w:tc>
        <w:tc>
          <w:tcPr>
            <w:tcW w:w="2566" w:type="dxa"/>
            <w:tcBorders>
              <w:top w:val="nil"/>
              <w:left w:val="nil"/>
              <w:bottom w:val="single" w:sz="4" w:space="0" w:color="auto"/>
              <w:right w:val="single" w:sz="4" w:space="0" w:color="auto"/>
            </w:tcBorders>
            <w:shd w:val="clear" w:color="auto" w:fill="auto"/>
            <w:hideMark/>
          </w:tcPr>
          <w:p w14:paraId="5ACF970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D4C25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07E69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96FE4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Building the Email List:</w:t>
            </w:r>
          </w:p>
        </w:tc>
        <w:tc>
          <w:tcPr>
            <w:tcW w:w="6762" w:type="dxa"/>
            <w:tcBorders>
              <w:top w:val="nil"/>
              <w:left w:val="nil"/>
              <w:bottom w:val="single" w:sz="4" w:space="0" w:color="auto"/>
              <w:right w:val="single" w:sz="4" w:space="0" w:color="auto"/>
            </w:tcBorders>
            <w:shd w:val="clear" w:color="auto" w:fill="auto"/>
            <w:hideMark/>
          </w:tcPr>
          <w:p w14:paraId="77A4E1F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B7CF52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F4AE5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43044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CBFAA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Opt-in Forms:</w:t>
            </w:r>
          </w:p>
        </w:tc>
        <w:tc>
          <w:tcPr>
            <w:tcW w:w="6762" w:type="dxa"/>
            <w:tcBorders>
              <w:top w:val="nil"/>
              <w:left w:val="nil"/>
              <w:bottom w:val="single" w:sz="4" w:space="0" w:color="auto"/>
              <w:right w:val="single" w:sz="4" w:space="0" w:color="auto"/>
            </w:tcBorders>
            <w:shd w:val="clear" w:color="auto" w:fill="auto"/>
            <w:hideMark/>
          </w:tcPr>
          <w:p w14:paraId="2E5AFF5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030C1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658BA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CD233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0D954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259DD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visually appealing and user-friendly opt-in forms on the campaign website and landing pages.</w:t>
            </w:r>
          </w:p>
        </w:tc>
        <w:tc>
          <w:tcPr>
            <w:tcW w:w="2566" w:type="dxa"/>
            <w:tcBorders>
              <w:top w:val="nil"/>
              <w:left w:val="nil"/>
              <w:bottom w:val="single" w:sz="4" w:space="0" w:color="auto"/>
              <w:right w:val="single" w:sz="4" w:space="0" w:color="auto"/>
            </w:tcBorders>
            <w:shd w:val="clear" w:color="auto" w:fill="auto"/>
            <w:hideMark/>
          </w:tcPr>
          <w:p w14:paraId="0125060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F731F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6ABF7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3E754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D25027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Place opt-in forms strategically throughout the website, including on the homepage, blog posts, and dedicated campaign pages.</w:t>
            </w:r>
          </w:p>
        </w:tc>
        <w:tc>
          <w:tcPr>
            <w:tcW w:w="2566" w:type="dxa"/>
            <w:tcBorders>
              <w:top w:val="nil"/>
              <w:left w:val="nil"/>
              <w:bottom w:val="single" w:sz="4" w:space="0" w:color="auto"/>
              <w:right w:val="single" w:sz="4" w:space="0" w:color="auto"/>
            </w:tcBorders>
            <w:shd w:val="clear" w:color="auto" w:fill="auto"/>
            <w:hideMark/>
          </w:tcPr>
          <w:p w14:paraId="1FDDB1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96107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4458A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DD72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7634C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incentives such as exclusive content, early access to updates, or special discounts to encourage visitors to subscribe.</w:t>
            </w:r>
          </w:p>
        </w:tc>
        <w:tc>
          <w:tcPr>
            <w:tcW w:w="2566" w:type="dxa"/>
            <w:tcBorders>
              <w:top w:val="nil"/>
              <w:left w:val="nil"/>
              <w:bottom w:val="single" w:sz="4" w:space="0" w:color="auto"/>
              <w:right w:val="single" w:sz="4" w:space="0" w:color="auto"/>
            </w:tcBorders>
            <w:shd w:val="clear" w:color="auto" w:fill="auto"/>
            <w:hideMark/>
          </w:tcPr>
          <w:p w14:paraId="1DD4BE5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28EA7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90202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2B1E0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Lead Magnets:</w:t>
            </w:r>
          </w:p>
        </w:tc>
        <w:tc>
          <w:tcPr>
            <w:tcW w:w="6762" w:type="dxa"/>
            <w:tcBorders>
              <w:top w:val="nil"/>
              <w:left w:val="nil"/>
              <w:bottom w:val="single" w:sz="4" w:space="0" w:color="auto"/>
              <w:right w:val="single" w:sz="4" w:space="0" w:color="auto"/>
            </w:tcBorders>
            <w:shd w:val="clear" w:color="auto" w:fill="auto"/>
            <w:hideMark/>
          </w:tcPr>
          <w:p w14:paraId="4A2B8F9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3166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3DAF0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AB8B5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0750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A90E7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compelling lead magnets such as e-books, whitepapers, or infographics related to prime numbers, cryptography, or the project's mission.</w:t>
            </w:r>
          </w:p>
        </w:tc>
        <w:tc>
          <w:tcPr>
            <w:tcW w:w="2566" w:type="dxa"/>
            <w:tcBorders>
              <w:top w:val="nil"/>
              <w:left w:val="nil"/>
              <w:bottom w:val="single" w:sz="4" w:space="0" w:color="auto"/>
              <w:right w:val="single" w:sz="4" w:space="0" w:color="auto"/>
            </w:tcBorders>
            <w:shd w:val="clear" w:color="auto" w:fill="auto"/>
            <w:hideMark/>
          </w:tcPr>
          <w:p w14:paraId="4A9D4A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E5D9C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C6FD7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A6CDD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F34ED3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these lead magnets as free downloads in exchange for email subscriptions, providing value to subscribers while capturing their contact information.</w:t>
            </w:r>
          </w:p>
        </w:tc>
        <w:tc>
          <w:tcPr>
            <w:tcW w:w="2566" w:type="dxa"/>
            <w:tcBorders>
              <w:top w:val="nil"/>
              <w:left w:val="nil"/>
              <w:bottom w:val="single" w:sz="4" w:space="0" w:color="auto"/>
              <w:right w:val="single" w:sz="4" w:space="0" w:color="auto"/>
            </w:tcBorders>
            <w:shd w:val="clear" w:color="auto" w:fill="auto"/>
            <w:hideMark/>
          </w:tcPr>
          <w:p w14:paraId="7C7CD4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E35C9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BE1AB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6BC4D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Social Media Promotion:</w:t>
            </w:r>
          </w:p>
        </w:tc>
        <w:tc>
          <w:tcPr>
            <w:tcW w:w="6762" w:type="dxa"/>
            <w:tcBorders>
              <w:top w:val="nil"/>
              <w:left w:val="nil"/>
              <w:bottom w:val="single" w:sz="4" w:space="0" w:color="auto"/>
              <w:right w:val="single" w:sz="4" w:space="0" w:color="auto"/>
            </w:tcBorders>
            <w:shd w:val="clear" w:color="auto" w:fill="auto"/>
            <w:hideMark/>
          </w:tcPr>
          <w:p w14:paraId="306AA7D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6B5F7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1F548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6639D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9DAAB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9A9F97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Promote the email list on social media platforms through targeted advertisements, posts, and stories.</w:t>
            </w:r>
          </w:p>
        </w:tc>
        <w:tc>
          <w:tcPr>
            <w:tcW w:w="2566" w:type="dxa"/>
            <w:tcBorders>
              <w:top w:val="nil"/>
              <w:left w:val="nil"/>
              <w:bottom w:val="single" w:sz="4" w:space="0" w:color="auto"/>
              <w:right w:val="single" w:sz="4" w:space="0" w:color="auto"/>
            </w:tcBorders>
            <w:shd w:val="clear" w:color="auto" w:fill="auto"/>
            <w:hideMark/>
          </w:tcPr>
          <w:p w14:paraId="48D3B6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7A9D6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5F9E8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4DD8C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882F60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Direct followers to sign up for the email list by highlighting the benefits of subscribing and showcasing examples of exclusive content or rewards.</w:t>
            </w:r>
          </w:p>
        </w:tc>
        <w:tc>
          <w:tcPr>
            <w:tcW w:w="2566" w:type="dxa"/>
            <w:tcBorders>
              <w:top w:val="nil"/>
              <w:left w:val="nil"/>
              <w:bottom w:val="single" w:sz="4" w:space="0" w:color="auto"/>
              <w:right w:val="single" w:sz="4" w:space="0" w:color="auto"/>
            </w:tcBorders>
            <w:shd w:val="clear" w:color="auto" w:fill="auto"/>
            <w:hideMark/>
          </w:tcPr>
          <w:p w14:paraId="532473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ACEAB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2F4E8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7856E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Guest Blogging and Partnerships:</w:t>
            </w:r>
          </w:p>
        </w:tc>
        <w:tc>
          <w:tcPr>
            <w:tcW w:w="6762" w:type="dxa"/>
            <w:tcBorders>
              <w:top w:val="nil"/>
              <w:left w:val="nil"/>
              <w:bottom w:val="single" w:sz="4" w:space="0" w:color="auto"/>
              <w:right w:val="single" w:sz="4" w:space="0" w:color="auto"/>
            </w:tcBorders>
            <w:shd w:val="clear" w:color="auto" w:fill="auto"/>
            <w:hideMark/>
          </w:tcPr>
          <w:p w14:paraId="5BAABD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03977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C2317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FB53D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0C15E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B102A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Collaborate with influencers, bloggers, and industry experts to guest post on their platforms or participate in joint ventures.</w:t>
            </w:r>
          </w:p>
        </w:tc>
        <w:tc>
          <w:tcPr>
            <w:tcW w:w="2566" w:type="dxa"/>
            <w:tcBorders>
              <w:top w:val="nil"/>
              <w:left w:val="nil"/>
              <w:bottom w:val="single" w:sz="4" w:space="0" w:color="auto"/>
              <w:right w:val="single" w:sz="4" w:space="0" w:color="auto"/>
            </w:tcBorders>
            <w:shd w:val="clear" w:color="auto" w:fill="auto"/>
            <w:hideMark/>
          </w:tcPr>
          <w:p w14:paraId="42BFA2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0ACF0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0EFDB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C7653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833F3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calls-to-action within guest posts or partnerships inviting readers to join the email list for more information and updates.</w:t>
            </w:r>
          </w:p>
        </w:tc>
        <w:tc>
          <w:tcPr>
            <w:tcW w:w="2566" w:type="dxa"/>
            <w:tcBorders>
              <w:top w:val="nil"/>
              <w:left w:val="nil"/>
              <w:bottom w:val="single" w:sz="4" w:space="0" w:color="auto"/>
              <w:right w:val="single" w:sz="4" w:space="0" w:color="auto"/>
            </w:tcBorders>
            <w:shd w:val="clear" w:color="auto" w:fill="auto"/>
            <w:hideMark/>
          </w:tcPr>
          <w:p w14:paraId="4E1CA5A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6876E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5B438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D7FB2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Events and Webinars:</w:t>
            </w:r>
          </w:p>
        </w:tc>
        <w:tc>
          <w:tcPr>
            <w:tcW w:w="6762" w:type="dxa"/>
            <w:tcBorders>
              <w:top w:val="nil"/>
              <w:left w:val="nil"/>
              <w:bottom w:val="single" w:sz="4" w:space="0" w:color="auto"/>
              <w:right w:val="single" w:sz="4" w:space="0" w:color="auto"/>
            </w:tcBorders>
            <w:shd w:val="clear" w:color="auto" w:fill="auto"/>
            <w:hideMark/>
          </w:tcPr>
          <w:p w14:paraId="11CB07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EF38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B9803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AA55C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E7B2C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C2036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Host virtual events, webinars, or workshops related to prime numbers, cryptography, or the project's theme.</w:t>
            </w:r>
          </w:p>
        </w:tc>
        <w:tc>
          <w:tcPr>
            <w:tcW w:w="2566" w:type="dxa"/>
            <w:tcBorders>
              <w:top w:val="nil"/>
              <w:left w:val="nil"/>
              <w:bottom w:val="single" w:sz="4" w:space="0" w:color="auto"/>
              <w:right w:val="single" w:sz="4" w:space="0" w:color="auto"/>
            </w:tcBorders>
            <w:shd w:val="clear" w:color="auto" w:fill="auto"/>
            <w:hideMark/>
          </w:tcPr>
          <w:p w14:paraId="6909B6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57043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B78E4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D6412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18F495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Collect email addresses from attendees during registration and follow up with post-event emails to encourage further engagement.</w:t>
            </w:r>
          </w:p>
        </w:tc>
        <w:tc>
          <w:tcPr>
            <w:tcW w:w="2566" w:type="dxa"/>
            <w:tcBorders>
              <w:top w:val="nil"/>
              <w:left w:val="nil"/>
              <w:bottom w:val="single" w:sz="4" w:space="0" w:color="auto"/>
              <w:right w:val="single" w:sz="4" w:space="0" w:color="auto"/>
            </w:tcBorders>
            <w:shd w:val="clear" w:color="auto" w:fill="auto"/>
            <w:hideMark/>
          </w:tcPr>
          <w:p w14:paraId="20FD81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A3EBB7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D49EB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EDC30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Maintaining the Email List:</w:t>
            </w:r>
          </w:p>
        </w:tc>
        <w:tc>
          <w:tcPr>
            <w:tcW w:w="6762" w:type="dxa"/>
            <w:tcBorders>
              <w:top w:val="nil"/>
              <w:left w:val="nil"/>
              <w:bottom w:val="single" w:sz="4" w:space="0" w:color="auto"/>
              <w:right w:val="single" w:sz="4" w:space="0" w:color="auto"/>
            </w:tcBorders>
            <w:shd w:val="clear" w:color="auto" w:fill="auto"/>
            <w:hideMark/>
          </w:tcPr>
          <w:p w14:paraId="1760108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B67DA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33BD1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3AA3F9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562D4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Segmentation and Personalization:</w:t>
            </w:r>
          </w:p>
        </w:tc>
        <w:tc>
          <w:tcPr>
            <w:tcW w:w="6762" w:type="dxa"/>
            <w:tcBorders>
              <w:top w:val="nil"/>
              <w:left w:val="nil"/>
              <w:bottom w:val="single" w:sz="4" w:space="0" w:color="auto"/>
              <w:right w:val="single" w:sz="4" w:space="0" w:color="auto"/>
            </w:tcBorders>
            <w:shd w:val="clear" w:color="auto" w:fill="auto"/>
            <w:hideMark/>
          </w:tcPr>
          <w:p w14:paraId="56145A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5EF52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DFFFF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0E9F2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0E953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7FEAD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 the email list based on subscriber preferences, demographics, or engagement levels.</w:t>
            </w:r>
          </w:p>
        </w:tc>
        <w:tc>
          <w:tcPr>
            <w:tcW w:w="2566" w:type="dxa"/>
            <w:tcBorders>
              <w:top w:val="nil"/>
              <w:left w:val="nil"/>
              <w:bottom w:val="single" w:sz="4" w:space="0" w:color="auto"/>
              <w:right w:val="single" w:sz="4" w:space="0" w:color="auto"/>
            </w:tcBorders>
            <w:shd w:val="clear" w:color="auto" w:fill="auto"/>
            <w:hideMark/>
          </w:tcPr>
          <w:p w14:paraId="62616EA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DAEE1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26BC9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1D14E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B6C12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Personalize email content and subject lines to cater to the specific interests and needs of different subscriber segments.</w:t>
            </w:r>
          </w:p>
        </w:tc>
        <w:tc>
          <w:tcPr>
            <w:tcW w:w="2566" w:type="dxa"/>
            <w:tcBorders>
              <w:top w:val="nil"/>
              <w:left w:val="nil"/>
              <w:bottom w:val="single" w:sz="4" w:space="0" w:color="auto"/>
              <w:right w:val="single" w:sz="4" w:space="0" w:color="auto"/>
            </w:tcBorders>
            <w:shd w:val="clear" w:color="auto" w:fill="auto"/>
            <w:hideMark/>
          </w:tcPr>
          <w:p w14:paraId="381BBA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FA6C6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BECFD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C4838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Regular Email Campaigns:</w:t>
            </w:r>
          </w:p>
        </w:tc>
        <w:tc>
          <w:tcPr>
            <w:tcW w:w="6762" w:type="dxa"/>
            <w:tcBorders>
              <w:top w:val="nil"/>
              <w:left w:val="nil"/>
              <w:bottom w:val="single" w:sz="4" w:space="0" w:color="auto"/>
              <w:right w:val="single" w:sz="4" w:space="0" w:color="auto"/>
            </w:tcBorders>
            <w:shd w:val="clear" w:color="auto" w:fill="auto"/>
            <w:hideMark/>
          </w:tcPr>
          <w:p w14:paraId="66F71FA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185E6F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1DF36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A1D30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D2596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BBB78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a regular schedule for sending email newsletters, updates, and announcements to subscribers.</w:t>
            </w:r>
          </w:p>
        </w:tc>
        <w:tc>
          <w:tcPr>
            <w:tcW w:w="2566" w:type="dxa"/>
            <w:tcBorders>
              <w:top w:val="nil"/>
              <w:left w:val="nil"/>
              <w:bottom w:val="single" w:sz="4" w:space="0" w:color="auto"/>
              <w:right w:val="single" w:sz="4" w:space="0" w:color="auto"/>
            </w:tcBorders>
            <w:shd w:val="clear" w:color="auto" w:fill="auto"/>
            <w:hideMark/>
          </w:tcPr>
          <w:p w14:paraId="487D89D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63656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F1022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06295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6C8B7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Balance the frequency of emails to avoid overwhelming subscribers while staying top-of-mind throughout the campaign.</w:t>
            </w:r>
          </w:p>
        </w:tc>
        <w:tc>
          <w:tcPr>
            <w:tcW w:w="2566" w:type="dxa"/>
            <w:tcBorders>
              <w:top w:val="nil"/>
              <w:left w:val="nil"/>
              <w:bottom w:val="single" w:sz="4" w:space="0" w:color="auto"/>
              <w:right w:val="single" w:sz="4" w:space="0" w:color="auto"/>
            </w:tcBorders>
            <w:shd w:val="clear" w:color="auto" w:fill="auto"/>
            <w:hideMark/>
          </w:tcPr>
          <w:p w14:paraId="1B2EB8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526DA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23530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9D036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Value-Added Content:</w:t>
            </w:r>
          </w:p>
        </w:tc>
        <w:tc>
          <w:tcPr>
            <w:tcW w:w="6762" w:type="dxa"/>
            <w:tcBorders>
              <w:top w:val="nil"/>
              <w:left w:val="nil"/>
              <w:bottom w:val="single" w:sz="4" w:space="0" w:color="auto"/>
              <w:right w:val="single" w:sz="4" w:space="0" w:color="auto"/>
            </w:tcBorders>
            <w:shd w:val="clear" w:color="auto" w:fill="auto"/>
            <w:hideMark/>
          </w:tcPr>
          <w:p w14:paraId="1B9880B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48E54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901BA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C45511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45E79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6D2FAE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valuable and relevant content in each email, including project updates, behind-the-scenes insights, educational resources, and exclusive offers.</w:t>
            </w:r>
          </w:p>
        </w:tc>
        <w:tc>
          <w:tcPr>
            <w:tcW w:w="2566" w:type="dxa"/>
            <w:tcBorders>
              <w:top w:val="nil"/>
              <w:left w:val="nil"/>
              <w:bottom w:val="single" w:sz="4" w:space="0" w:color="auto"/>
              <w:right w:val="single" w:sz="4" w:space="0" w:color="auto"/>
            </w:tcBorders>
            <w:shd w:val="clear" w:color="auto" w:fill="auto"/>
            <w:hideMark/>
          </w:tcPr>
          <w:p w14:paraId="46EF4DF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A7D53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482DF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C7931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262DC4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Focus on delivering content that informs, entertains, or inspires subscribers, reinforcing their decision to remain on the email list.</w:t>
            </w:r>
          </w:p>
        </w:tc>
        <w:tc>
          <w:tcPr>
            <w:tcW w:w="2566" w:type="dxa"/>
            <w:tcBorders>
              <w:top w:val="nil"/>
              <w:left w:val="nil"/>
              <w:bottom w:val="single" w:sz="4" w:space="0" w:color="auto"/>
              <w:right w:val="single" w:sz="4" w:space="0" w:color="auto"/>
            </w:tcBorders>
            <w:shd w:val="clear" w:color="auto" w:fill="auto"/>
            <w:hideMark/>
          </w:tcPr>
          <w:p w14:paraId="25A88FF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C5BEA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7AB91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01370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Engagement and Feedback:</w:t>
            </w:r>
          </w:p>
        </w:tc>
        <w:tc>
          <w:tcPr>
            <w:tcW w:w="6762" w:type="dxa"/>
            <w:tcBorders>
              <w:top w:val="nil"/>
              <w:left w:val="nil"/>
              <w:bottom w:val="single" w:sz="4" w:space="0" w:color="auto"/>
              <w:right w:val="single" w:sz="4" w:space="0" w:color="auto"/>
            </w:tcBorders>
            <w:shd w:val="clear" w:color="auto" w:fill="auto"/>
            <w:hideMark/>
          </w:tcPr>
          <w:p w14:paraId="45A8C7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6F8AB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C9086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92FCC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C287E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E490F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engagement by inviting subscribers to reply to emails with questions, feedback, or suggestions.</w:t>
            </w:r>
          </w:p>
        </w:tc>
        <w:tc>
          <w:tcPr>
            <w:tcW w:w="2566" w:type="dxa"/>
            <w:tcBorders>
              <w:top w:val="nil"/>
              <w:left w:val="nil"/>
              <w:bottom w:val="single" w:sz="4" w:space="0" w:color="auto"/>
              <w:right w:val="single" w:sz="4" w:space="0" w:color="auto"/>
            </w:tcBorders>
            <w:shd w:val="clear" w:color="auto" w:fill="auto"/>
            <w:hideMark/>
          </w:tcPr>
          <w:p w14:paraId="099B45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AB1CC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F54DFE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1EF5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B122D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 email metrics such as open rates, click-through rates, and unsubscribe rates to gauge subscriber engagement and adjust strategies accordingly.</w:t>
            </w:r>
          </w:p>
        </w:tc>
        <w:tc>
          <w:tcPr>
            <w:tcW w:w="2566" w:type="dxa"/>
            <w:tcBorders>
              <w:top w:val="nil"/>
              <w:left w:val="nil"/>
              <w:bottom w:val="single" w:sz="4" w:space="0" w:color="auto"/>
              <w:right w:val="single" w:sz="4" w:space="0" w:color="auto"/>
            </w:tcBorders>
            <w:shd w:val="clear" w:color="auto" w:fill="auto"/>
            <w:hideMark/>
          </w:tcPr>
          <w:p w14:paraId="62920A8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94ACF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A7C1D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93899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Compliance and Transparency:</w:t>
            </w:r>
          </w:p>
        </w:tc>
        <w:tc>
          <w:tcPr>
            <w:tcW w:w="6762" w:type="dxa"/>
            <w:tcBorders>
              <w:top w:val="nil"/>
              <w:left w:val="nil"/>
              <w:bottom w:val="single" w:sz="4" w:space="0" w:color="auto"/>
              <w:right w:val="single" w:sz="4" w:space="0" w:color="auto"/>
            </w:tcBorders>
            <w:shd w:val="clear" w:color="auto" w:fill="auto"/>
            <w:hideMark/>
          </w:tcPr>
          <w:p w14:paraId="051371C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600B1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85FC1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9BD56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A7937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D0257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compliance with email marketing regulations such as GDPR or CAN-SPAM by obtaining explicit consent from subscribers and providing clear unsubscribe options.</w:t>
            </w:r>
          </w:p>
        </w:tc>
        <w:tc>
          <w:tcPr>
            <w:tcW w:w="2566" w:type="dxa"/>
            <w:tcBorders>
              <w:top w:val="nil"/>
              <w:left w:val="nil"/>
              <w:bottom w:val="single" w:sz="4" w:space="0" w:color="auto"/>
              <w:right w:val="single" w:sz="4" w:space="0" w:color="auto"/>
            </w:tcBorders>
            <w:shd w:val="clear" w:color="auto" w:fill="auto"/>
            <w:hideMark/>
          </w:tcPr>
          <w:p w14:paraId="5E3A81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7079F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024BED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BB338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4B5671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Maintain transparency by clearly communicating how subscriber information will be used and protected.</w:t>
            </w:r>
          </w:p>
        </w:tc>
        <w:tc>
          <w:tcPr>
            <w:tcW w:w="2566" w:type="dxa"/>
            <w:tcBorders>
              <w:top w:val="nil"/>
              <w:left w:val="nil"/>
              <w:bottom w:val="single" w:sz="4" w:space="0" w:color="auto"/>
              <w:right w:val="single" w:sz="4" w:space="0" w:color="auto"/>
            </w:tcBorders>
            <w:shd w:val="clear" w:color="auto" w:fill="auto"/>
            <w:hideMark/>
          </w:tcPr>
          <w:p w14:paraId="4E40AE6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7BBA0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003E7E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E537D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349C8E5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effectively building and maintaining an email list of subscribers interested in the project or related topics, the crowdfunding campaign can establish direct communication channels with potential backers, nurture relationships, and drive engagement throughout the campaign duration.</w:t>
            </w:r>
          </w:p>
        </w:tc>
        <w:tc>
          <w:tcPr>
            <w:tcW w:w="2566" w:type="dxa"/>
            <w:tcBorders>
              <w:top w:val="nil"/>
              <w:left w:val="nil"/>
              <w:bottom w:val="single" w:sz="4" w:space="0" w:color="auto"/>
              <w:right w:val="single" w:sz="4" w:space="0" w:color="auto"/>
            </w:tcBorders>
            <w:shd w:val="clear" w:color="auto" w:fill="auto"/>
            <w:hideMark/>
          </w:tcPr>
          <w:p w14:paraId="750DB2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7B797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A9D9A8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3D248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3AF047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C4B369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1724E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7EF55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B19FD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Email Newsletters:</w:t>
            </w:r>
          </w:p>
        </w:tc>
        <w:tc>
          <w:tcPr>
            <w:tcW w:w="6762" w:type="dxa"/>
            <w:tcBorders>
              <w:top w:val="nil"/>
              <w:left w:val="nil"/>
              <w:bottom w:val="single" w:sz="4" w:space="0" w:color="auto"/>
              <w:right w:val="single" w:sz="4" w:space="0" w:color="auto"/>
            </w:tcBorders>
            <w:shd w:val="clear" w:color="auto" w:fill="auto"/>
            <w:hideMark/>
          </w:tcPr>
          <w:p w14:paraId="204D0B7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Send personalized email updates, newsletters, and campaign announcements to keep subscribers informed and engaged throughout the campaign.</w:t>
            </w:r>
          </w:p>
        </w:tc>
        <w:tc>
          <w:tcPr>
            <w:tcW w:w="2566" w:type="dxa"/>
            <w:tcBorders>
              <w:top w:val="nil"/>
              <w:left w:val="nil"/>
              <w:bottom w:val="single" w:sz="4" w:space="0" w:color="auto"/>
              <w:right w:val="single" w:sz="4" w:space="0" w:color="auto"/>
            </w:tcBorders>
            <w:shd w:val="clear" w:color="auto" w:fill="auto"/>
            <w:hideMark/>
          </w:tcPr>
          <w:p w14:paraId="46BD955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F78EF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CEF03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564F1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225E99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Sending personalized email updates, newsletters, and campaign announcements is a crucial aspect of the communication strategy during the crowdfunding campaign. Here's how this can be achieved in extreme detail:</w:t>
            </w:r>
          </w:p>
        </w:tc>
        <w:tc>
          <w:tcPr>
            <w:tcW w:w="2566" w:type="dxa"/>
            <w:tcBorders>
              <w:top w:val="nil"/>
              <w:left w:val="nil"/>
              <w:bottom w:val="single" w:sz="4" w:space="0" w:color="auto"/>
              <w:right w:val="single" w:sz="4" w:space="0" w:color="auto"/>
            </w:tcBorders>
            <w:shd w:val="clear" w:color="auto" w:fill="auto"/>
            <w:hideMark/>
          </w:tcPr>
          <w:p w14:paraId="237E5E6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57324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135ABB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099EF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Crafting Personalized Email Updates:</w:t>
            </w:r>
          </w:p>
        </w:tc>
        <w:tc>
          <w:tcPr>
            <w:tcW w:w="6762" w:type="dxa"/>
            <w:tcBorders>
              <w:top w:val="nil"/>
              <w:left w:val="nil"/>
              <w:bottom w:val="single" w:sz="4" w:space="0" w:color="auto"/>
              <w:right w:val="single" w:sz="4" w:space="0" w:color="auto"/>
            </w:tcBorders>
            <w:shd w:val="clear" w:color="auto" w:fill="auto"/>
            <w:hideMark/>
          </w:tcPr>
          <w:p w14:paraId="7323490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BB4BA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CD7D5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F30B7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EEC8C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Subscriber Segmentation:</w:t>
            </w:r>
          </w:p>
        </w:tc>
        <w:tc>
          <w:tcPr>
            <w:tcW w:w="6762" w:type="dxa"/>
            <w:tcBorders>
              <w:top w:val="nil"/>
              <w:left w:val="nil"/>
              <w:bottom w:val="single" w:sz="4" w:space="0" w:color="auto"/>
              <w:right w:val="single" w:sz="4" w:space="0" w:color="auto"/>
            </w:tcBorders>
            <w:shd w:val="clear" w:color="auto" w:fill="auto"/>
            <w:hideMark/>
          </w:tcPr>
          <w:p w14:paraId="6598646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251EB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98B53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54E37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B8670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155BEC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 the email list based on subscriber preferences, engagement levels, and demographics.</w:t>
            </w:r>
          </w:p>
        </w:tc>
        <w:tc>
          <w:tcPr>
            <w:tcW w:w="2566" w:type="dxa"/>
            <w:tcBorders>
              <w:top w:val="nil"/>
              <w:left w:val="nil"/>
              <w:bottom w:val="single" w:sz="4" w:space="0" w:color="auto"/>
              <w:right w:val="single" w:sz="4" w:space="0" w:color="auto"/>
            </w:tcBorders>
            <w:shd w:val="clear" w:color="auto" w:fill="auto"/>
            <w:hideMark/>
          </w:tcPr>
          <w:p w14:paraId="7184B1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14238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F6BCA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49545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934420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data collected from subscriber interactions to personalize email content and ensure relevance to each recipient.</w:t>
            </w:r>
          </w:p>
        </w:tc>
        <w:tc>
          <w:tcPr>
            <w:tcW w:w="2566" w:type="dxa"/>
            <w:tcBorders>
              <w:top w:val="nil"/>
              <w:left w:val="nil"/>
              <w:bottom w:val="single" w:sz="4" w:space="0" w:color="auto"/>
              <w:right w:val="single" w:sz="4" w:space="0" w:color="auto"/>
            </w:tcBorders>
            <w:shd w:val="clear" w:color="auto" w:fill="auto"/>
            <w:hideMark/>
          </w:tcPr>
          <w:p w14:paraId="14D5CC8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7A68A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4A476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6E27C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Tailored Messaging:</w:t>
            </w:r>
          </w:p>
        </w:tc>
        <w:tc>
          <w:tcPr>
            <w:tcW w:w="6762" w:type="dxa"/>
            <w:tcBorders>
              <w:top w:val="nil"/>
              <w:left w:val="nil"/>
              <w:bottom w:val="single" w:sz="4" w:space="0" w:color="auto"/>
              <w:right w:val="single" w:sz="4" w:space="0" w:color="auto"/>
            </w:tcBorders>
            <w:shd w:val="clear" w:color="auto" w:fill="auto"/>
            <w:hideMark/>
          </w:tcPr>
          <w:p w14:paraId="40F8FBE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AE565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F77AB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C0CA69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60520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38194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Customize email updates to address the interests, concerns, or questions of different subscriber segments.</w:t>
            </w:r>
          </w:p>
        </w:tc>
        <w:tc>
          <w:tcPr>
            <w:tcW w:w="2566" w:type="dxa"/>
            <w:tcBorders>
              <w:top w:val="nil"/>
              <w:left w:val="nil"/>
              <w:bottom w:val="single" w:sz="4" w:space="0" w:color="auto"/>
              <w:right w:val="single" w:sz="4" w:space="0" w:color="auto"/>
            </w:tcBorders>
            <w:shd w:val="clear" w:color="auto" w:fill="auto"/>
            <w:hideMark/>
          </w:tcPr>
          <w:p w14:paraId="312EBC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EFF9A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92CD96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9C894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4C1CD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Craft compelling subject lines that capture attention and convey the value or significance of the email content.</w:t>
            </w:r>
          </w:p>
        </w:tc>
        <w:tc>
          <w:tcPr>
            <w:tcW w:w="2566" w:type="dxa"/>
            <w:tcBorders>
              <w:top w:val="nil"/>
              <w:left w:val="nil"/>
              <w:bottom w:val="single" w:sz="4" w:space="0" w:color="auto"/>
              <w:right w:val="single" w:sz="4" w:space="0" w:color="auto"/>
            </w:tcBorders>
            <w:shd w:val="clear" w:color="auto" w:fill="auto"/>
            <w:hideMark/>
          </w:tcPr>
          <w:p w14:paraId="5AFA99E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FBA2C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34A67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66B57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Project Progress Updates:</w:t>
            </w:r>
          </w:p>
        </w:tc>
        <w:tc>
          <w:tcPr>
            <w:tcW w:w="6762" w:type="dxa"/>
            <w:tcBorders>
              <w:top w:val="nil"/>
              <w:left w:val="nil"/>
              <w:bottom w:val="single" w:sz="4" w:space="0" w:color="auto"/>
              <w:right w:val="single" w:sz="4" w:space="0" w:color="auto"/>
            </w:tcBorders>
            <w:shd w:val="clear" w:color="auto" w:fill="auto"/>
            <w:hideMark/>
          </w:tcPr>
          <w:p w14:paraId="374CAC8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383EBD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3509D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EA04F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19F62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05D72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detailed updates on the progress of the crowdfunding campaign, including fundraising milestones, achievements, and challenges encountered.</w:t>
            </w:r>
          </w:p>
        </w:tc>
        <w:tc>
          <w:tcPr>
            <w:tcW w:w="2566" w:type="dxa"/>
            <w:tcBorders>
              <w:top w:val="nil"/>
              <w:left w:val="nil"/>
              <w:bottom w:val="single" w:sz="4" w:space="0" w:color="auto"/>
              <w:right w:val="single" w:sz="4" w:space="0" w:color="auto"/>
            </w:tcBorders>
            <w:shd w:val="clear" w:color="auto" w:fill="auto"/>
            <w:hideMark/>
          </w:tcPr>
          <w:p w14:paraId="3D1C56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80657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4C6D69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23511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4EC032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Share insights into how subscriber contributions are making a tangible impact on the project's development and success.</w:t>
            </w:r>
          </w:p>
        </w:tc>
        <w:tc>
          <w:tcPr>
            <w:tcW w:w="2566" w:type="dxa"/>
            <w:tcBorders>
              <w:top w:val="nil"/>
              <w:left w:val="nil"/>
              <w:bottom w:val="single" w:sz="4" w:space="0" w:color="auto"/>
              <w:right w:val="single" w:sz="4" w:space="0" w:color="auto"/>
            </w:tcBorders>
            <w:shd w:val="clear" w:color="auto" w:fill="auto"/>
            <w:hideMark/>
          </w:tcPr>
          <w:p w14:paraId="3D42CB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175E0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6C2107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FDF3C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Exclusive Content and Offers:</w:t>
            </w:r>
          </w:p>
        </w:tc>
        <w:tc>
          <w:tcPr>
            <w:tcW w:w="6762" w:type="dxa"/>
            <w:tcBorders>
              <w:top w:val="nil"/>
              <w:left w:val="nil"/>
              <w:bottom w:val="single" w:sz="4" w:space="0" w:color="auto"/>
              <w:right w:val="single" w:sz="4" w:space="0" w:color="auto"/>
            </w:tcBorders>
            <w:shd w:val="clear" w:color="auto" w:fill="auto"/>
            <w:hideMark/>
          </w:tcPr>
          <w:p w14:paraId="327DF7A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91A94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3F8E9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B7E57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ECF59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96B1F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exclusive content, behind-the-scenes insights, or sneak peeks to reward subscribers for their support and engagement.</w:t>
            </w:r>
          </w:p>
        </w:tc>
        <w:tc>
          <w:tcPr>
            <w:tcW w:w="2566" w:type="dxa"/>
            <w:tcBorders>
              <w:top w:val="nil"/>
              <w:left w:val="nil"/>
              <w:bottom w:val="single" w:sz="4" w:space="0" w:color="auto"/>
              <w:right w:val="single" w:sz="4" w:space="0" w:color="auto"/>
            </w:tcBorders>
            <w:shd w:val="clear" w:color="auto" w:fill="auto"/>
            <w:hideMark/>
          </w:tcPr>
          <w:p w14:paraId="31354F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95D32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24F48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A1D3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4D097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special offers or incentives, such as early access to project updates, limited-time discounts, or exclusive perks for newsletter subscribers.</w:t>
            </w:r>
          </w:p>
        </w:tc>
        <w:tc>
          <w:tcPr>
            <w:tcW w:w="2566" w:type="dxa"/>
            <w:tcBorders>
              <w:top w:val="nil"/>
              <w:left w:val="nil"/>
              <w:bottom w:val="single" w:sz="4" w:space="0" w:color="auto"/>
              <w:right w:val="single" w:sz="4" w:space="0" w:color="auto"/>
            </w:tcBorders>
            <w:shd w:val="clear" w:color="auto" w:fill="auto"/>
            <w:hideMark/>
          </w:tcPr>
          <w:p w14:paraId="2B70DB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9A4AB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5D225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EE0CA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Interactive Elements:</w:t>
            </w:r>
          </w:p>
        </w:tc>
        <w:tc>
          <w:tcPr>
            <w:tcW w:w="6762" w:type="dxa"/>
            <w:tcBorders>
              <w:top w:val="nil"/>
              <w:left w:val="nil"/>
              <w:bottom w:val="single" w:sz="4" w:space="0" w:color="auto"/>
              <w:right w:val="single" w:sz="4" w:space="0" w:color="auto"/>
            </w:tcBorders>
            <w:shd w:val="clear" w:color="auto" w:fill="auto"/>
            <w:hideMark/>
          </w:tcPr>
          <w:p w14:paraId="2C6780E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9C85C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DB9A5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8317E6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CB6E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6903A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interactive elements in email updates to encourage engagement and interaction, such as polls, surveys, or clickable calls-to-action.</w:t>
            </w:r>
          </w:p>
        </w:tc>
        <w:tc>
          <w:tcPr>
            <w:tcW w:w="2566" w:type="dxa"/>
            <w:tcBorders>
              <w:top w:val="nil"/>
              <w:left w:val="nil"/>
              <w:bottom w:val="single" w:sz="4" w:space="0" w:color="auto"/>
              <w:right w:val="single" w:sz="4" w:space="0" w:color="auto"/>
            </w:tcBorders>
            <w:shd w:val="clear" w:color="auto" w:fill="auto"/>
            <w:hideMark/>
          </w:tcPr>
          <w:p w14:paraId="57BD0E5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6859F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5BDAE9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DF914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D6048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Invite subscribers to share their feedback, opinions, or suggestions to foster a sense of community and collaboration.</w:t>
            </w:r>
          </w:p>
        </w:tc>
        <w:tc>
          <w:tcPr>
            <w:tcW w:w="2566" w:type="dxa"/>
            <w:tcBorders>
              <w:top w:val="nil"/>
              <w:left w:val="nil"/>
              <w:bottom w:val="single" w:sz="4" w:space="0" w:color="auto"/>
              <w:right w:val="single" w:sz="4" w:space="0" w:color="auto"/>
            </w:tcBorders>
            <w:shd w:val="clear" w:color="auto" w:fill="auto"/>
            <w:hideMark/>
          </w:tcPr>
          <w:p w14:paraId="347862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2C2F9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351184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1E103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Newsletter Content and Design:</w:t>
            </w:r>
          </w:p>
        </w:tc>
        <w:tc>
          <w:tcPr>
            <w:tcW w:w="6762" w:type="dxa"/>
            <w:tcBorders>
              <w:top w:val="nil"/>
              <w:left w:val="nil"/>
              <w:bottom w:val="single" w:sz="4" w:space="0" w:color="auto"/>
              <w:right w:val="single" w:sz="4" w:space="0" w:color="auto"/>
            </w:tcBorders>
            <w:shd w:val="clear" w:color="auto" w:fill="auto"/>
            <w:hideMark/>
          </w:tcPr>
          <w:p w14:paraId="7160404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48EED2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CB51F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C2B29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E88A3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Compelling Content:</w:t>
            </w:r>
          </w:p>
        </w:tc>
        <w:tc>
          <w:tcPr>
            <w:tcW w:w="6762" w:type="dxa"/>
            <w:tcBorders>
              <w:top w:val="nil"/>
              <w:left w:val="nil"/>
              <w:bottom w:val="single" w:sz="4" w:space="0" w:color="auto"/>
              <w:right w:val="single" w:sz="4" w:space="0" w:color="auto"/>
            </w:tcBorders>
            <w:shd w:val="clear" w:color="auto" w:fill="auto"/>
            <w:hideMark/>
          </w:tcPr>
          <w:p w14:paraId="7A0AFE1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2C306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4CA0D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9149A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89E9F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3E0B83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engaging and informative content that adds value to subscribers' inbox and aligns with their interests.</w:t>
            </w:r>
          </w:p>
        </w:tc>
        <w:tc>
          <w:tcPr>
            <w:tcW w:w="2566" w:type="dxa"/>
            <w:tcBorders>
              <w:top w:val="nil"/>
              <w:left w:val="nil"/>
              <w:bottom w:val="single" w:sz="4" w:space="0" w:color="auto"/>
              <w:right w:val="single" w:sz="4" w:space="0" w:color="auto"/>
            </w:tcBorders>
            <w:shd w:val="clear" w:color="auto" w:fill="auto"/>
            <w:hideMark/>
          </w:tcPr>
          <w:p w14:paraId="6F06EA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A3C84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1C2A4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38565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35403B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Balance promotional messages with educational or entertaining content to maintain subscriber engagement.</w:t>
            </w:r>
          </w:p>
        </w:tc>
        <w:tc>
          <w:tcPr>
            <w:tcW w:w="2566" w:type="dxa"/>
            <w:tcBorders>
              <w:top w:val="nil"/>
              <w:left w:val="nil"/>
              <w:bottom w:val="single" w:sz="4" w:space="0" w:color="auto"/>
              <w:right w:val="single" w:sz="4" w:space="0" w:color="auto"/>
            </w:tcBorders>
            <w:shd w:val="clear" w:color="auto" w:fill="auto"/>
            <w:hideMark/>
          </w:tcPr>
          <w:p w14:paraId="1920713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359A4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2475DA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E1A8C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Visual Appeal:</w:t>
            </w:r>
          </w:p>
        </w:tc>
        <w:tc>
          <w:tcPr>
            <w:tcW w:w="6762" w:type="dxa"/>
            <w:tcBorders>
              <w:top w:val="nil"/>
              <w:left w:val="nil"/>
              <w:bottom w:val="single" w:sz="4" w:space="0" w:color="auto"/>
              <w:right w:val="single" w:sz="4" w:space="0" w:color="auto"/>
            </w:tcBorders>
            <w:shd w:val="clear" w:color="auto" w:fill="auto"/>
            <w:hideMark/>
          </w:tcPr>
          <w:p w14:paraId="1A15194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677F6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C063D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A6CCD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09A9F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CB6E8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 visually appealing newsletters with eye-catching graphics, images, and multimedia elements.</w:t>
            </w:r>
          </w:p>
        </w:tc>
        <w:tc>
          <w:tcPr>
            <w:tcW w:w="2566" w:type="dxa"/>
            <w:tcBorders>
              <w:top w:val="nil"/>
              <w:left w:val="nil"/>
              <w:bottom w:val="single" w:sz="4" w:space="0" w:color="auto"/>
              <w:right w:val="single" w:sz="4" w:space="0" w:color="auto"/>
            </w:tcBorders>
            <w:shd w:val="clear" w:color="auto" w:fill="auto"/>
            <w:hideMark/>
          </w:tcPr>
          <w:p w14:paraId="135B470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A1EED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2C2B42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850FF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C300A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readability by using clear fonts, concise messaging, and a clean layout that enhances the overall user experience.</w:t>
            </w:r>
          </w:p>
        </w:tc>
        <w:tc>
          <w:tcPr>
            <w:tcW w:w="2566" w:type="dxa"/>
            <w:tcBorders>
              <w:top w:val="nil"/>
              <w:left w:val="nil"/>
              <w:bottom w:val="single" w:sz="4" w:space="0" w:color="auto"/>
              <w:right w:val="single" w:sz="4" w:space="0" w:color="auto"/>
            </w:tcBorders>
            <w:shd w:val="clear" w:color="auto" w:fill="auto"/>
            <w:hideMark/>
          </w:tcPr>
          <w:p w14:paraId="64FCE9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412F8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05526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BE0E6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Consistent Branding:</w:t>
            </w:r>
          </w:p>
        </w:tc>
        <w:tc>
          <w:tcPr>
            <w:tcW w:w="6762" w:type="dxa"/>
            <w:tcBorders>
              <w:top w:val="nil"/>
              <w:left w:val="nil"/>
              <w:bottom w:val="single" w:sz="4" w:space="0" w:color="auto"/>
              <w:right w:val="single" w:sz="4" w:space="0" w:color="auto"/>
            </w:tcBorders>
            <w:shd w:val="clear" w:color="auto" w:fill="auto"/>
            <w:hideMark/>
          </w:tcPr>
          <w:p w14:paraId="1F3BDC1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67721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37B5B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6C999B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1A36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A3073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Maintain consistent branding across email newsletters to reinforce brand identity and recognition.</w:t>
            </w:r>
          </w:p>
        </w:tc>
        <w:tc>
          <w:tcPr>
            <w:tcW w:w="2566" w:type="dxa"/>
            <w:tcBorders>
              <w:top w:val="nil"/>
              <w:left w:val="nil"/>
              <w:bottom w:val="single" w:sz="4" w:space="0" w:color="auto"/>
              <w:right w:val="single" w:sz="4" w:space="0" w:color="auto"/>
            </w:tcBorders>
            <w:shd w:val="clear" w:color="auto" w:fill="auto"/>
            <w:hideMark/>
          </w:tcPr>
          <w:p w14:paraId="085977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B9946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342D81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69B80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C51F0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brand colors, logos, and imagery to create a cohesive and professional appearance.</w:t>
            </w:r>
          </w:p>
        </w:tc>
        <w:tc>
          <w:tcPr>
            <w:tcW w:w="2566" w:type="dxa"/>
            <w:tcBorders>
              <w:top w:val="nil"/>
              <w:left w:val="nil"/>
              <w:bottom w:val="single" w:sz="4" w:space="0" w:color="auto"/>
              <w:right w:val="single" w:sz="4" w:space="0" w:color="auto"/>
            </w:tcBorders>
            <w:shd w:val="clear" w:color="auto" w:fill="auto"/>
            <w:hideMark/>
          </w:tcPr>
          <w:p w14:paraId="05437A5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AB4A2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27E243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40C0D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Mobile Optimization:</w:t>
            </w:r>
          </w:p>
        </w:tc>
        <w:tc>
          <w:tcPr>
            <w:tcW w:w="6762" w:type="dxa"/>
            <w:tcBorders>
              <w:top w:val="nil"/>
              <w:left w:val="nil"/>
              <w:bottom w:val="single" w:sz="4" w:space="0" w:color="auto"/>
              <w:right w:val="single" w:sz="4" w:space="0" w:color="auto"/>
            </w:tcBorders>
            <w:shd w:val="clear" w:color="auto" w:fill="auto"/>
            <w:hideMark/>
          </w:tcPr>
          <w:p w14:paraId="6B3347B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953B74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F3753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548A3D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C1671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9D836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Optimize email newsletters for mobile devices to ensure seamless viewing and readability on smartphones and tablets.</w:t>
            </w:r>
          </w:p>
        </w:tc>
        <w:tc>
          <w:tcPr>
            <w:tcW w:w="2566" w:type="dxa"/>
            <w:tcBorders>
              <w:top w:val="nil"/>
              <w:left w:val="nil"/>
              <w:bottom w:val="single" w:sz="4" w:space="0" w:color="auto"/>
              <w:right w:val="single" w:sz="4" w:space="0" w:color="auto"/>
            </w:tcBorders>
            <w:shd w:val="clear" w:color="auto" w:fill="auto"/>
            <w:hideMark/>
          </w:tcPr>
          <w:p w14:paraId="31C5CA6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2F51F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5E398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4F7D0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7C765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Test email templates across different devices and screen sizes to ensure compatibility and responsiveness.</w:t>
            </w:r>
          </w:p>
        </w:tc>
        <w:tc>
          <w:tcPr>
            <w:tcW w:w="2566" w:type="dxa"/>
            <w:tcBorders>
              <w:top w:val="nil"/>
              <w:left w:val="nil"/>
              <w:bottom w:val="single" w:sz="4" w:space="0" w:color="auto"/>
              <w:right w:val="single" w:sz="4" w:space="0" w:color="auto"/>
            </w:tcBorders>
            <w:shd w:val="clear" w:color="auto" w:fill="auto"/>
            <w:hideMark/>
          </w:tcPr>
          <w:p w14:paraId="04D4F1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792E7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A6841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B7039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Delivery and Timing:</w:t>
            </w:r>
          </w:p>
        </w:tc>
        <w:tc>
          <w:tcPr>
            <w:tcW w:w="6762" w:type="dxa"/>
            <w:tcBorders>
              <w:top w:val="nil"/>
              <w:left w:val="nil"/>
              <w:bottom w:val="single" w:sz="4" w:space="0" w:color="auto"/>
              <w:right w:val="single" w:sz="4" w:space="0" w:color="auto"/>
            </w:tcBorders>
            <w:shd w:val="clear" w:color="auto" w:fill="auto"/>
            <w:hideMark/>
          </w:tcPr>
          <w:p w14:paraId="3411521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86B9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5D732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1F827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209EB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Optimal Timing:</w:t>
            </w:r>
          </w:p>
        </w:tc>
        <w:tc>
          <w:tcPr>
            <w:tcW w:w="6762" w:type="dxa"/>
            <w:tcBorders>
              <w:top w:val="nil"/>
              <w:left w:val="nil"/>
              <w:bottom w:val="single" w:sz="4" w:space="0" w:color="auto"/>
              <w:right w:val="single" w:sz="4" w:space="0" w:color="auto"/>
            </w:tcBorders>
            <w:shd w:val="clear" w:color="auto" w:fill="auto"/>
            <w:hideMark/>
          </w:tcPr>
          <w:p w14:paraId="1676AB3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1939F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75AAE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717E4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B5593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2D8BD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Determine the best times and days to send email updates based on subscriber behavior and engagement patterns.</w:t>
            </w:r>
          </w:p>
        </w:tc>
        <w:tc>
          <w:tcPr>
            <w:tcW w:w="2566" w:type="dxa"/>
            <w:tcBorders>
              <w:top w:val="nil"/>
              <w:left w:val="nil"/>
              <w:bottom w:val="single" w:sz="4" w:space="0" w:color="auto"/>
              <w:right w:val="single" w:sz="4" w:space="0" w:color="auto"/>
            </w:tcBorders>
            <w:shd w:val="clear" w:color="auto" w:fill="auto"/>
            <w:hideMark/>
          </w:tcPr>
          <w:p w14:paraId="305BB6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BEAD0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229A4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989AC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37629F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Schedule email campaigns to coincide with key campaign milestones, events, or promotional activities.</w:t>
            </w:r>
          </w:p>
        </w:tc>
        <w:tc>
          <w:tcPr>
            <w:tcW w:w="2566" w:type="dxa"/>
            <w:tcBorders>
              <w:top w:val="nil"/>
              <w:left w:val="nil"/>
              <w:bottom w:val="single" w:sz="4" w:space="0" w:color="auto"/>
              <w:right w:val="single" w:sz="4" w:space="0" w:color="auto"/>
            </w:tcBorders>
            <w:shd w:val="clear" w:color="auto" w:fill="auto"/>
            <w:hideMark/>
          </w:tcPr>
          <w:p w14:paraId="2735D8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8EA56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90147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33188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Email Automation:</w:t>
            </w:r>
          </w:p>
        </w:tc>
        <w:tc>
          <w:tcPr>
            <w:tcW w:w="6762" w:type="dxa"/>
            <w:tcBorders>
              <w:top w:val="nil"/>
              <w:left w:val="nil"/>
              <w:bottom w:val="single" w:sz="4" w:space="0" w:color="auto"/>
              <w:right w:val="single" w:sz="4" w:space="0" w:color="auto"/>
            </w:tcBorders>
            <w:shd w:val="clear" w:color="auto" w:fill="auto"/>
            <w:hideMark/>
          </w:tcPr>
          <w:p w14:paraId="3040398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AEAAA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090E5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66B8D2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13B26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AF854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email automation tools to schedule and send updates automatically, saving time and ensuring timely delivery.</w:t>
            </w:r>
          </w:p>
        </w:tc>
        <w:tc>
          <w:tcPr>
            <w:tcW w:w="2566" w:type="dxa"/>
            <w:tcBorders>
              <w:top w:val="nil"/>
              <w:left w:val="nil"/>
              <w:bottom w:val="single" w:sz="4" w:space="0" w:color="auto"/>
              <w:right w:val="single" w:sz="4" w:space="0" w:color="auto"/>
            </w:tcBorders>
            <w:shd w:val="clear" w:color="auto" w:fill="auto"/>
            <w:hideMark/>
          </w:tcPr>
          <w:p w14:paraId="5D983A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596A8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A7861F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5347A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0F196D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Set up triggered emails based on subscriber actions or predefined time intervals to deliver personalized content at the right moment.</w:t>
            </w:r>
          </w:p>
        </w:tc>
        <w:tc>
          <w:tcPr>
            <w:tcW w:w="2566" w:type="dxa"/>
            <w:tcBorders>
              <w:top w:val="nil"/>
              <w:left w:val="nil"/>
              <w:bottom w:val="single" w:sz="4" w:space="0" w:color="auto"/>
              <w:right w:val="single" w:sz="4" w:space="0" w:color="auto"/>
            </w:tcBorders>
            <w:shd w:val="clear" w:color="auto" w:fill="auto"/>
            <w:hideMark/>
          </w:tcPr>
          <w:p w14:paraId="3F3535B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3C5CB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C58320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841B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4D2FFD5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sending personalized email updates, newsletters, and campaign announcements, the crowdfunding campaign can effectively communicate with potential backers, keep subscribers informed and engaged, and drive ongoing support and contributions towards achieving the campaign's goals.</w:t>
            </w:r>
          </w:p>
        </w:tc>
        <w:tc>
          <w:tcPr>
            <w:tcW w:w="2566" w:type="dxa"/>
            <w:tcBorders>
              <w:top w:val="nil"/>
              <w:left w:val="nil"/>
              <w:bottom w:val="single" w:sz="4" w:space="0" w:color="auto"/>
              <w:right w:val="single" w:sz="4" w:space="0" w:color="auto"/>
            </w:tcBorders>
            <w:shd w:val="clear" w:color="auto" w:fill="auto"/>
            <w:hideMark/>
          </w:tcPr>
          <w:p w14:paraId="451776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DFFEE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6BEAB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C757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96DD99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641C9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4FABE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04385B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6E93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Email Newsletters:</w:t>
            </w:r>
          </w:p>
        </w:tc>
        <w:tc>
          <w:tcPr>
            <w:tcW w:w="6762" w:type="dxa"/>
            <w:tcBorders>
              <w:top w:val="nil"/>
              <w:left w:val="nil"/>
              <w:bottom w:val="single" w:sz="4" w:space="0" w:color="auto"/>
              <w:right w:val="single" w:sz="4" w:space="0" w:color="auto"/>
            </w:tcBorders>
            <w:shd w:val="clear" w:color="auto" w:fill="auto"/>
            <w:hideMark/>
          </w:tcPr>
          <w:p w14:paraId="422FC26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Segment the email list based on subscriber preferences, engagement levels, and contribution history to tailor messaging and offers.</w:t>
            </w:r>
          </w:p>
        </w:tc>
        <w:tc>
          <w:tcPr>
            <w:tcW w:w="2566" w:type="dxa"/>
            <w:tcBorders>
              <w:top w:val="nil"/>
              <w:left w:val="nil"/>
              <w:bottom w:val="single" w:sz="4" w:space="0" w:color="auto"/>
              <w:right w:val="single" w:sz="4" w:space="0" w:color="auto"/>
            </w:tcBorders>
            <w:shd w:val="clear" w:color="auto" w:fill="auto"/>
            <w:hideMark/>
          </w:tcPr>
          <w:p w14:paraId="3D40AD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154D7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C83A6E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A68C8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6957F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Segmenting the email list based on subscriber preferences, engagement levels, and contribution history is a critical aspect of effective email newsletter communication during a crowdfunding campaign. Here's a detailed breakdown of how this can be accomplished:</w:t>
            </w:r>
          </w:p>
        </w:tc>
        <w:tc>
          <w:tcPr>
            <w:tcW w:w="2566" w:type="dxa"/>
            <w:tcBorders>
              <w:top w:val="nil"/>
              <w:left w:val="nil"/>
              <w:bottom w:val="single" w:sz="4" w:space="0" w:color="auto"/>
              <w:right w:val="single" w:sz="4" w:space="0" w:color="auto"/>
            </w:tcBorders>
            <w:shd w:val="clear" w:color="auto" w:fill="auto"/>
            <w:hideMark/>
          </w:tcPr>
          <w:p w14:paraId="2D6007B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FD05E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44A12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A7D51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Subscriber Preferences:</w:t>
            </w:r>
          </w:p>
        </w:tc>
        <w:tc>
          <w:tcPr>
            <w:tcW w:w="6762" w:type="dxa"/>
            <w:tcBorders>
              <w:top w:val="nil"/>
              <w:left w:val="nil"/>
              <w:bottom w:val="single" w:sz="4" w:space="0" w:color="auto"/>
              <w:right w:val="single" w:sz="4" w:space="0" w:color="auto"/>
            </w:tcBorders>
            <w:shd w:val="clear" w:color="auto" w:fill="auto"/>
            <w:hideMark/>
          </w:tcPr>
          <w:p w14:paraId="09A6823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3DD33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2F808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0D7D93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B3ECB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Preference Center:</w:t>
            </w:r>
          </w:p>
        </w:tc>
        <w:tc>
          <w:tcPr>
            <w:tcW w:w="6762" w:type="dxa"/>
            <w:tcBorders>
              <w:top w:val="nil"/>
              <w:left w:val="nil"/>
              <w:bottom w:val="single" w:sz="4" w:space="0" w:color="auto"/>
              <w:right w:val="single" w:sz="4" w:space="0" w:color="auto"/>
            </w:tcBorders>
            <w:shd w:val="clear" w:color="auto" w:fill="auto"/>
            <w:hideMark/>
          </w:tcPr>
          <w:p w14:paraId="488D001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4899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62688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962F1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C8F49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F5B7BB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a preference center where subscribers can choose the type of content they want to receive, such as project updates, exclusive offers, or behind-the-scenes insights.</w:t>
            </w:r>
          </w:p>
        </w:tc>
        <w:tc>
          <w:tcPr>
            <w:tcW w:w="2566" w:type="dxa"/>
            <w:tcBorders>
              <w:top w:val="nil"/>
              <w:left w:val="nil"/>
              <w:bottom w:val="single" w:sz="4" w:space="0" w:color="auto"/>
              <w:right w:val="single" w:sz="4" w:space="0" w:color="auto"/>
            </w:tcBorders>
            <w:shd w:val="clear" w:color="auto" w:fill="auto"/>
            <w:hideMark/>
          </w:tcPr>
          <w:p w14:paraId="73A65D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D08E8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A505C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E67A3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EB606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Allow subscribers to indicate their interests, preferences, and frequency of communication to ensure they receive relevant and personalized content.</w:t>
            </w:r>
          </w:p>
        </w:tc>
        <w:tc>
          <w:tcPr>
            <w:tcW w:w="2566" w:type="dxa"/>
            <w:tcBorders>
              <w:top w:val="nil"/>
              <w:left w:val="nil"/>
              <w:bottom w:val="single" w:sz="4" w:space="0" w:color="auto"/>
              <w:right w:val="single" w:sz="4" w:space="0" w:color="auto"/>
            </w:tcBorders>
            <w:shd w:val="clear" w:color="auto" w:fill="auto"/>
            <w:hideMark/>
          </w:tcPr>
          <w:p w14:paraId="13DD3F4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7308D5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0F8E3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2F30A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Survey and Feedback:</w:t>
            </w:r>
          </w:p>
        </w:tc>
        <w:tc>
          <w:tcPr>
            <w:tcW w:w="6762" w:type="dxa"/>
            <w:tcBorders>
              <w:top w:val="nil"/>
              <w:left w:val="nil"/>
              <w:bottom w:val="single" w:sz="4" w:space="0" w:color="auto"/>
              <w:right w:val="single" w:sz="4" w:space="0" w:color="auto"/>
            </w:tcBorders>
            <w:shd w:val="clear" w:color="auto" w:fill="auto"/>
            <w:hideMark/>
          </w:tcPr>
          <w:p w14:paraId="586A363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AE6A4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448B3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CAA671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42CC0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9B0CF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Conduct surveys or collect feedback from subscribers to understand their preferences, needs, and expectations.</w:t>
            </w:r>
          </w:p>
        </w:tc>
        <w:tc>
          <w:tcPr>
            <w:tcW w:w="2566" w:type="dxa"/>
            <w:tcBorders>
              <w:top w:val="nil"/>
              <w:left w:val="nil"/>
              <w:bottom w:val="single" w:sz="4" w:space="0" w:color="auto"/>
              <w:right w:val="single" w:sz="4" w:space="0" w:color="auto"/>
            </w:tcBorders>
            <w:shd w:val="clear" w:color="auto" w:fill="auto"/>
            <w:hideMark/>
          </w:tcPr>
          <w:p w14:paraId="604DAF2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DE27E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39C702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86649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CE2DC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the insights gathered to tailor email content and offers to align with subscriber interests and preferences.</w:t>
            </w:r>
          </w:p>
        </w:tc>
        <w:tc>
          <w:tcPr>
            <w:tcW w:w="2566" w:type="dxa"/>
            <w:tcBorders>
              <w:top w:val="nil"/>
              <w:left w:val="nil"/>
              <w:bottom w:val="single" w:sz="4" w:space="0" w:color="auto"/>
              <w:right w:val="single" w:sz="4" w:space="0" w:color="auto"/>
            </w:tcBorders>
            <w:shd w:val="clear" w:color="auto" w:fill="auto"/>
            <w:hideMark/>
          </w:tcPr>
          <w:p w14:paraId="21BF10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521F4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AACE66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0F434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Engagement Levels:</w:t>
            </w:r>
          </w:p>
        </w:tc>
        <w:tc>
          <w:tcPr>
            <w:tcW w:w="6762" w:type="dxa"/>
            <w:tcBorders>
              <w:top w:val="nil"/>
              <w:left w:val="nil"/>
              <w:bottom w:val="single" w:sz="4" w:space="0" w:color="auto"/>
              <w:right w:val="single" w:sz="4" w:space="0" w:color="auto"/>
            </w:tcBorders>
            <w:shd w:val="clear" w:color="auto" w:fill="auto"/>
            <w:hideMark/>
          </w:tcPr>
          <w:p w14:paraId="4294B01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D335B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F6BA8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78779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54D91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Engagement Tracking:</w:t>
            </w:r>
          </w:p>
        </w:tc>
        <w:tc>
          <w:tcPr>
            <w:tcW w:w="6762" w:type="dxa"/>
            <w:tcBorders>
              <w:top w:val="nil"/>
              <w:left w:val="nil"/>
              <w:bottom w:val="single" w:sz="4" w:space="0" w:color="auto"/>
              <w:right w:val="single" w:sz="4" w:space="0" w:color="auto"/>
            </w:tcBorders>
            <w:shd w:val="clear" w:color="auto" w:fill="auto"/>
            <w:hideMark/>
          </w:tcPr>
          <w:p w14:paraId="7919140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22163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43F7E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55E8DA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6C495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47092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 subscriber engagement metrics, such as open rates, click-through rates, and conversion rates, to gauge the level of interest and interaction with email content.</w:t>
            </w:r>
          </w:p>
        </w:tc>
        <w:tc>
          <w:tcPr>
            <w:tcW w:w="2566" w:type="dxa"/>
            <w:tcBorders>
              <w:top w:val="nil"/>
              <w:left w:val="nil"/>
              <w:bottom w:val="single" w:sz="4" w:space="0" w:color="auto"/>
              <w:right w:val="single" w:sz="4" w:space="0" w:color="auto"/>
            </w:tcBorders>
            <w:shd w:val="clear" w:color="auto" w:fill="auto"/>
            <w:hideMark/>
          </w:tcPr>
          <w:p w14:paraId="703779A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50EF1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98B38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0B4A0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23B2F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 subscribers into categories based on their engagement levels, such as highly engaged, moderately engaged, or inactive.</w:t>
            </w:r>
          </w:p>
        </w:tc>
        <w:tc>
          <w:tcPr>
            <w:tcW w:w="2566" w:type="dxa"/>
            <w:tcBorders>
              <w:top w:val="nil"/>
              <w:left w:val="nil"/>
              <w:bottom w:val="single" w:sz="4" w:space="0" w:color="auto"/>
              <w:right w:val="single" w:sz="4" w:space="0" w:color="auto"/>
            </w:tcBorders>
            <w:shd w:val="clear" w:color="auto" w:fill="auto"/>
            <w:hideMark/>
          </w:tcPr>
          <w:p w14:paraId="45950E4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A3A7E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5F11B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B9B92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Customized Messaging:</w:t>
            </w:r>
          </w:p>
        </w:tc>
        <w:tc>
          <w:tcPr>
            <w:tcW w:w="6762" w:type="dxa"/>
            <w:tcBorders>
              <w:top w:val="nil"/>
              <w:left w:val="nil"/>
              <w:bottom w:val="single" w:sz="4" w:space="0" w:color="auto"/>
              <w:right w:val="single" w:sz="4" w:space="0" w:color="auto"/>
            </w:tcBorders>
            <w:shd w:val="clear" w:color="auto" w:fill="auto"/>
            <w:hideMark/>
          </w:tcPr>
          <w:p w14:paraId="1901C77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4F05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6153B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F6BEE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A9E12B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D40B77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Customize email messaging and offers based on the engagement level of each subscriber segment.</w:t>
            </w:r>
          </w:p>
        </w:tc>
        <w:tc>
          <w:tcPr>
            <w:tcW w:w="2566" w:type="dxa"/>
            <w:tcBorders>
              <w:top w:val="nil"/>
              <w:left w:val="nil"/>
              <w:bottom w:val="single" w:sz="4" w:space="0" w:color="auto"/>
              <w:right w:val="single" w:sz="4" w:space="0" w:color="auto"/>
            </w:tcBorders>
            <w:shd w:val="clear" w:color="auto" w:fill="auto"/>
            <w:hideMark/>
          </w:tcPr>
          <w:p w14:paraId="66CA56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9B75E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FD519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44E51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714A42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For highly engaged subscribers, offer exclusive content or rewards to incentivize continued interaction and support.</w:t>
            </w:r>
          </w:p>
        </w:tc>
        <w:tc>
          <w:tcPr>
            <w:tcW w:w="2566" w:type="dxa"/>
            <w:tcBorders>
              <w:top w:val="nil"/>
              <w:left w:val="nil"/>
              <w:bottom w:val="single" w:sz="4" w:space="0" w:color="auto"/>
              <w:right w:val="single" w:sz="4" w:space="0" w:color="auto"/>
            </w:tcBorders>
            <w:shd w:val="clear" w:color="auto" w:fill="auto"/>
            <w:hideMark/>
          </w:tcPr>
          <w:p w14:paraId="5DE94F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F2024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906222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596E8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0F2705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For inactive subscribers, implement re-engagement strategies such as targeted reactivation campaigns or special incentives to reignite their interest.</w:t>
            </w:r>
          </w:p>
        </w:tc>
        <w:tc>
          <w:tcPr>
            <w:tcW w:w="2566" w:type="dxa"/>
            <w:tcBorders>
              <w:top w:val="nil"/>
              <w:left w:val="nil"/>
              <w:bottom w:val="single" w:sz="4" w:space="0" w:color="auto"/>
              <w:right w:val="single" w:sz="4" w:space="0" w:color="auto"/>
            </w:tcBorders>
            <w:shd w:val="clear" w:color="auto" w:fill="auto"/>
            <w:hideMark/>
          </w:tcPr>
          <w:p w14:paraId="7FCC62A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B0413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54E34A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4618B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Contribution History:</w:t>
            </w:r>
          </w:p>
        </w:tc>
        <w:tc>
          <w:tcPr>
            <w:tcW w:w="6762" w:type="dxa"/>
            <w:tcBorders>
              <w:top w:val="nil"/>
              <w:left w:val="nil"/>
              <w:bottom w:val="single" w:sz="4" w:space="0" w:color="auto"/>
              <w:right w:val="single" w:sz="4" w:space="0" w:color="auto"/>
            </w:tcBorders>
            <w:shd w:val="clear" w:color="auto" w:fill="auto"/>
            <w:hideMark/>
          </w:tcPr>
          <w:p w14:paraId="302E497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C459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169E9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9C1F9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98F0C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Contribution Tracking:</w:t>
            </w:r>
          </w:p>
        </w:tc>
        <w:tc>
          <w:tcPr>
            <w:tcW w:w="6762" w:type="dxa"/>
            <w:tcBorders>
              <w:top w:val="nil"/>
              <w:left w:val="nil"/>
              <w:bottom w:val="single" w:sz="4" w:space="0" w:color="auto"/>
              <w:right w:val="single" w:sz="4" w:space="0" w:color="auto"/>
            </w:tcBorders>
            <w:shd w:val="clear" w:color="auto" w:fill="auto"/>
            <w:hideMark/>
          </w:tcPr>
          <w:p w14:paraId="635920A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46D9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27A94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8CF09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9F188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77BBF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Track the contribution history of subscribers, including past pledges, donation amounts, and frequency of support.</w:t>
            </w:r>
          </w:p>
        </w:tc>
        <w:tc>
          <w:tcPr>
            <w:tcW w:w="2566" w:type="dxa"/>
            <w:tcBorders>
              <w:top w:val="nil"/>
              <w:left w:val="nil"/>
              <w:bottom w:val="single" w:sz="4" w:space="0" w:color="auto"/>
              <w:right w:val="single" w:sz="4" w:space="0" w:color="auto"/>
            </w:tcBorders>
            <w:shd w:val="clear" w:color="auto" w:fill="auto"/>
            <w:hideMark/>
          </w:tcPr>
          <w:p w14:paraId="6171DC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550C5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495D3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D6ED0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A504C7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Segment subscribers into categories based on their contribution history, such as repeat backers, first-time donors, or high-value supporters.</w:t>
            </w:r>
          </w:p>
        </w:tc>
        <w:tc>
          <w:tcPr>
            <w:tcW w:w="2566" w:type="dxa"/>
            <w:tcBorders>
              <w:top w:val="nil"/>
              <w:left w:val="nil"/>
              <w:bottom w:val="single" w:sz="4" w:space="0" w:color="auto"/>
              <w:right w:val="single" w:sz="4" w:space="0" w:color="auto"/>
            </w:tcBorders>
            <w:shd w:val="clear" w:color="auto" w:fill="auto"/>
            <w:hideMark/>
          </w:tcPr>
          <w:p w14:paraId="5592FF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0BB68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0C6292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25EA6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Tailored Offers:</w:t>
            </w:r>
          </w:p>
        </w:tc>
        <w:tc>
          <w:tcPr>
            <w:tcW w:w="6762" w:type="dxa"/>
            <w:tcBorders>
              <w:top w:val="nil"/>
              <w:left w:val="nil"/>
              <w:bottom w:val="single" w:sz="4" w:space="0" w:color="auto"/>
              <w:right w:val="single" w:sz="4" w:space="0" w:color="auto"/>
            </w:tcBorders>
            <w:shd w:val="clear" w:color="auto" w:fill="auto"/>
            <w:hideMark/>
          </w:tcPr>
          <w:p w14:paraId="329E608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0EA500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3A3D2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465A7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D2960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D2F61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Tailor email offers and incentives based on the contribution history of each subscriber segment.</w:t>
            </w:r>
          </w:p>
        </w:tc>
        <w:tc>
          <w:tcPr>
            <w:tcW w:w="2566" w:type="dxa"/>
            <w:tcBorders>
              <w:top w:val="nil"/>
              <w:left w:val="nil"/>
              <w:bottom w:val="single" w:sz="4" w:space="0" w:color="auto"/>
              <w:right w:val="single" w:sz="4" w:space="0" w:color="auto"/>
            </w:tcBorders>
            <w:shd w:val="clear" w:color="auto" w:fill="auto"/>
            <w:hideMark/>
          </w:tcPr>
          <w:p w14:paraId="2738B9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45770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3491B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BFFD6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E6930C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special rewards or recognition to repeat backers as a token of appreciation for their continued support.</w:t>
            </w:r>
          </w:p>
        </w:tc>
        <w:tc>
          <w:tcPr>
            <w:tcW w:w="2566" w:type="dxa"/>
            <w:tcBorders>
              <w:top w:val="nil"/>
              <w:left w:val="nil"/>
              <w:bottom w:val="single" w:sz="4" w:space="0" w:color="auto"/>
              <w:right w:val="single" w:sz="4" w:space="0" w:color="auto"/>
            </w:tcBorders>
            <w:shd w:val="clear" w:color="auto" w:fill="auto"/>
            <w:hideMark/>
          </w:tcPr>
          <w:p w14:paraId="5480623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ED181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FF442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AAE4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1F5A7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exclusive perks or discounts to first-time donors to encourage initial contributions and engagement.</w:t>
            </w:r>
          </w:p>
        </w:tc>
        <w:tc>
          <w:tcPr>
            <w:tcW w:w="2566" w:type="dxa"/>
            <w:tcBorders>
              <w:top w:val="nil"/>
              <w:left w:val="nil"/>
              <w:bottom w:val="single" w:sz="4" w:space="0" w:color="auto"/>
              <w:right w:val="single" w:sz="4" w:space="0" w:color="auto"/>
            </w:tcBorders>
            <w:shd w:val="clear" w:color="auto" w:fill="auto"/>
            <w:hideMark/>
          </w:tcPr>
          <w:p w14:paraId="10DE1C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45552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9C0EC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3D469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6ECAA84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FA6DB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34D0D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1DFCD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DB5A6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Email List Management:</w:t>
            </w:r>
          </w:p>
        </w:tc>
        <w:tc>
          <w:tcPr>
            <w:tcW w:w="6762" w:type="dxa"/>
            <w:tcBorders>
              <w:top w:val="nil"/>
              <w:left w:val="nil"/>
              <w:bottom w:val="single" w:sz="4" w:space="0" w:color="auto"/>
              <w:right w:val="single" w:sz="4" w:space="0" w:color="auto"/>
            </w:tcBorders>
            <w:shd w:val="clear" w:color="auto" w:fill="auto"/>
            <w:hideMark/>
          </w:tcPr>
          <w:p w14:paraId="2726FB8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D8C3E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C4BD4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D3D6FD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F8AF3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66096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Utilize email marketing software or customer relationship management (CRM) platforms to manage and segment subscriber lists effectively.</w:t>
            </w:r>
          </w:p>
        </w:tc>
        <w:tc>
          <w:tcPr>
            <w:tcW w:w="2566" w:type="dxa"/>
            <w:tcBorders>
              <w:top w:val="nil"/>
              <w:left w:val="nil"/>
              <w:bottom w:val="single" w:sz="4" w:space="0" w:color="auto"/>
              <w:right w:val="single" w:sz="4" w:space="0" w:color="auto"/>
            </w:tcBorders>
            <w:shd w:val="clear" w:color="auto" w:fill="auto"/>
            <w:hideMark/>
          </w:tcPr>
          <w:p w14:paraId="308462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D2E024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39DCC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CC215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275CF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tagging or labeling systems to categorize subscribers based on their preferences, engagement levels, and contribution history.</w:t>
            </w:r>
          </w:p>
        </w:tc>
        <w:tc>
          <w:tcPr>
            <w:tcW w:w="2566" w:type="dxa"/>
            <w:tcBorders>
              <w:top w:val="nil"/>
              <w:left w:val="nil"/>
              <w:bottom w:val="single" w:sz="4" w:space="0" w:color="auto"/>
              <w:right w:val="single" w:sz="4" w:space="0" w:color="auto"/>
            </w:tcBorders>
            <w:shd w:val="clear" w:color="auto" w:fill="auto"/>
            <w:hideMark/>
          </w:tcPr>
          <w:p w14:paraId="0A258A0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052C9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919D9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CBF52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Automated Workflows:</w:t>
            </w:r>
          </w:p>
        </w:tc>
        <w:tc>
          <w:tcPr>
            <w:tcW w:w="6762" w:type="dxa"/>
            <w:tcBorders>
              <w:top w:val="nil"/>
              <w:left w:val="nil"/>
              <w:bottom w:val="single" w:sz="4" w:space="0" w:color="auto"/>
              <w:right w:val="single" w:sz="4" w:space="0" w:color="auto"/>
            </w:tcBorders>
            <w:shd w:val="clear" w:color="auto" w:fill="auto"/>
            <w:hideMark/>
          </w:tcPr>
          <w:p w14:paraId="4E89C9B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0D446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8E54E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8C26D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BA26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5B190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Set up automated email workflows triggered by subscriber actions or predefined criteria, such as sign-up, engagement, or donation milestones.</w:t>
            </w:r>
          </w:p>
        </w:tc>
        <w:tc>
          <w:tcPr>
            <w:tcW w:w="2566" w:type="dxa"/>
            <w:tcBorders>
              <w:top w:val="nil"/>
              <w:left w:val="nil"/>
              <w:bottom w:val="single" w:sz="4" w:space="0" w:color="auto"/>
              <w:right w:val="single" w:sz="4" w:space="0" w:color="auto"/>
            </w:tcBorders>
            <w:shd w:val="clear" w:color="auto" w:fill="auto"/>
            <w:hideMark/>
          </w:tcPr>
          <w:p w14:paraId="3CDD0E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6F6C9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A5ACC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735DE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E5882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 customized email sequences and campaigns tailored to the specific needs and interests of each subscriber segment.</w:t>
            </w:r>
          </w:p>
        </w:tc>
        <w:tc>
          <w:tcPr>
            <w:tcW w:w="2566" w:type="dxa"/>
            <w:tcBorders>
              <w:top w:val="nil"/>
              <w:left w:val="nil"/>
              <w:bottom w:val="single" w:sz="4" w:space="0" w:color="auto"/>
              <w:right w:val="single" w:sz="4" w:space="0" w:color="auto"/>
            </w:tcBorders>
            <w:shd w:val="clear" w:color="auto" w:fill="auto"/>
            <w:hideMark/>
          </w:tcPr>
          <w:p w14:paraId="1CA462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3562B0"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2A61B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844DE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Conclusion:</w:t>
            </w:r>
          </w:p>
        </w:tc>
        <w:tc>
          <w:tcPr>
            <w:tcW w:w="6762" w:type="dxa"/>
            <w:tcBorders>
              <w:top w:val="nil"/>
              <w:left w:val="nil"/>
              <w:bottom w:val="single" w:sz="4" w:space="0" w:color="auto"/>
              <w:right w:val="single" w:sz="4" w:space="0" w:color="auto"/>
            </w:tcBorders>
            <w:shd w:val="clear" w:color="auto" w:fill="auto"/>
            <w:hideMark/>
          </w:tcPr>
          <w:p w14:paraId="13AC673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segmenting the email list based on subscriber preferences, engagement levels, and contribution history, the crowdfunding campaign can deliver personalized and relevant email content that resonates with potential backers, fosters engagement, and maximizes the effectiveness of communication efforts.</w:t>
            </w:r>
          </w:p>
        </w:tc>
        <w:tc>
          <w:tcPr>
            <w:tcW w:w="2566" w:type="dxa"/>
            <w:tcBorders>
              <w:top w:val="nil"/>
              <w:left w:val="nil"/>
              <w:bottom w:val="single" w:sz="4" w:space="0" w:color="auto"/>
              <w:right w:val="single" w:sz="4" w:space="0" w:color="auto"/>
            </w:tcBorders>
            <w:shd w:val="clear" w:color="auto" w:fill="auto"/>
            <w:hideMark/>
          </w:tcPr>
          <w:p w14:paraId="58005E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F463D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817B0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E5E75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1E9942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E687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58C2B3" w14:textId="77777777" w:rsidTr="0041317E">
        <w:trPr>
          <w:trHeight w:val="5184"/>
        </w:trPr>
        <w:tc>
          <w:tcPr>
            <w:tcW w:w="1349" w:type="dxa"/>
            <w:tcBorders>
              <w:top w:val="nil"/>
              <w:left w:val="single" w:sz="4" w:space="0" w:color="auto"/>
              <w:bottom w:val="single" w:sz="4" w:space="0" w:color="auto"/>
              <w:right w:val="single" w:sz="4" w:space="0" w:color="auto"/>
            </w:tcBorders>
            <w:shd w:val="clear" w:color="auto" w:fill="auto"/>
            <w:hideMark/>
          </w:tcPr>
          <w:p w14:paraId="10A71A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C0DE8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Email Newsletters:</w:t>
            </w:r>
          </w:p>
        </w:tc>
        <w:tc>
          <w:tcPr>
            <w:tcW w:w="6762" w:type="dxa"/>
            <w:tcBorders>
              <w:top w:val="nil"/>
              <w:left w:val="nil"/>
              <w:bottom w:val="single" w:sz="4" w:space="0" w:color="auto"/>
              <w:right w:val="single" w:sz="4" w:space="0" w:color="auto"/>
            </w:tcBorders>
            <w:shd w:val="clear" w:color="auto" w:fill="auto"/>
            <w:hideMark/>
          </w:tcPr>
          <w:p w14:paraId="032682A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 Include compelling subject lines, clear calls to action, and visually appealing content to encourage opens, clicks, and conversions.</w:t>
            </w:r>
          </w:p>
        </w:tc>
        <w:tc>
          <w:tcPr>
            <w:tcW w:w="2566" w:type="dxa"/>
            <w:tcBorders>
              <w:top w:val="nil"/>
              <w:left w:val="nil"/>
              <w:bottom w:val="single" w:sz="4" w:space="0" w:color="auto"/>
              <w:right w:val="single" w:sz="4" w:space="0" w:color="auto"/>
            </w:tcBorders>
            <w:shd w:val="clear" w:color="auto" w:fill="auto"/>
            <w:hideMark/>
          </w:tcPr>
          <w:p w14:paraId="776EA9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Encourage to find primes in every day life.  Brag about finding primes. "My Prime is Bigger than Yours" "To Prime or not to compute efficiently" "If I had a prime for every time I heard that" "ComputatousPrime" "PrimesMeltComputers" "Chicken-Fried-Prime" "Finger-Lickin-Prime" "Me you and a bottle of prime" "This one time at prime camp..." "Indivisibly Prime" "Prime Split" "Prime Target" "Prime Octopus" "Prime Ingrediente" "Prime Factor" " Prime Reader"</w:t>
            </w:r>
          </w:p>
        </w:tc>
      </w:tr>
      <w:tr w:rsidR="0041317E" w:rsidRPr="0041317E" w14:paraId="0CDD02B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7322F8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57556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73D25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Crafting compelling subject lines, clear calls to action, and visually appealing content is crucial for maximizing engagement and conversions in email newsletters during a crowdfunding campaign. Here's a detailed breakdown of how to implement these elements effectively:</w:t>
            </w:r>
          </w:p>
        </w:tc>
        <w:tc>
          <w:tcPr>
            <w:tcW w:w="2566" w:type="dxa"/>
            <w:tcBorders>
              <w:top w:val="nil"/>
              <w:left w:val="nil"/>
              <w:bottom w:val="single" w:sz="4" w:space="0" w:color="auto"/>
              <w:right w:val="single" w:sz="4" w:space="0" w:color="auto"/>
            </w:tcBorders>
            <w:shd w:val="clear" w:color="auto" w:fill="auto"/>
            <w:hideMark/>
          </w:tcPr>
          <w:p w14:paraId="465A2F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D82C5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5BCF4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09292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Compelling Subject Lines:</w:t>
            </w:r>
          </w:p>
        </w:tc>
        <w:tc>
          <w:tcPr>
            <w:tcW w:w="6762" w:type="dxa"/>
            <w:tcBorders>
              <w:top w:val="nil"/>
              <w:left w:val="nil"/>
              <w:bottom w:val="single" w:sz="4" w:space="0" w:color="auto"/>
              <w:right w:val="single" w:sz="4" w:space="0" w:color="auto"/>
            </w:tcBorders>
            <w:shd w:val="clear" w:color="auto" w:fill="auto"/>
            <w:hideMark/>
          </w:tcPr>
          <w:p w14:paraId="337CA99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082D9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381D6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E2970E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DE08D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Personalization:</w:t>
            </w:r>
          </w:p>
        </w:tc>
        <w:tc>
          <w:tcPr>
            <w:tcW w:w="6762" w:type="dxa"/>
            <w:tcBorders>
              <w:top w:val="nil"/>
              <w:left w:val="nil"/>
              <w:bottom w:val="single" w:sz="4" w:space="0" w:color="auto"/>
              <w:right w:val="single" w:sz="4" w:space="0" w:color="auto"/>
            </w:tcBorders>
            <w:shd w:val="clear" w:color="auto" w:fill="auto"/>
            <w:hideMark/>
          </w:tcPr>
          <w:p w14:paraId="4F060AB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5D66D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46AB0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9CC5A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C22D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7689D1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Personalize subject lines to grab subscribers' attention and make them feel valued. Include their name or reference their previous interactions with the campaign.</w:t>
            </w:r>
          </w:p>
        </w:tc>
        <w:tc>
          <w:tcPr>
            <w:tcW w:w="2566" w:type="dxa"/>
            <w:tcBorders>
              <w:top w:val="nil"/>
              <w:left w:val="nil"/>
              <w:bottom w:val="single" w:sz="4" w:space="0" w:color="auto"/>
              <w:right w:val="single" w:sz="4" w:space="0" w:color="auto"/>
            </w:tcBorders>
            <w:shd w:val="clear" w:color="auto" w:fill="auto"/>
            <w:hideMark/>
          </w:tcPr>
          <w:p w14:paraId="235F33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DB349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01C38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A9FA5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4F5667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"Hey [Subscriber Name], Unlock Your Prime Potential Today!"</w:t>
            </w:r>
          </w:p>
        </w:tc>
        <w:tc>
          <w:tcPr>
            <w:tcW w:w="2566" w:type="dxa"/>
            <w:tcBorders>
              <w:top w:val="nil"/>
              <w:left w:val="nil"/>
              <w:bottom w:val="single" w:sz="4" w:space="0" w:color="auto"/>
              <w:right w:val="single" w:sz="4" w:space="0" w:color="auto"/>
            </w:tcBorders>
            <w:shd w:val="clear" w:color="auto" w:fill="auto"/>
            <w:hideMark/>
          </w:tcPr>
          <w:p w14:paraId="7568F06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30000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57EA12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FA77B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Curiosity:</w:t>
            </w:r>
          </w:p>
        </w:tc>
        <w:tc>
          <w:tcPr>
            <w:tcW w:w="6762" w:type="dxa"/>
            <w:tcBorders>
              <w:top w:val="nil"/>
              <w:left w:val="nil"/>
              <w:bottom w:val="single" w:sz="4" w:space="0" w:color="auto"/>
              <w:right w:val="single" w:sz="4" w:space="0" w:color="auto"/>
            </w:tcBorders>
            <w:shd w:val="clear" w:color="auto" w:fill="auto"/>
            <w:hideMark/>
          </w:tcPr>
          <w:p w14:paraId="24CF9A0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B558D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27BFE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87E9F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A6D09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69DFC6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intrigue and curiosity with subject lines that pique subscribers' interest and encourage them to open the email to learn more.</w:t>
            </w:r>
          </w:p>
        </w:tc>
        <w:tc>
          <w:tcPr>
            <w:tcW w:w="2566" w:type="dxa"/>
            <w:tcBorders>
              <w:top w:val="nil"/>
              <w:left w:val="nil"/>
              <w:bottom w:val="single" w:sz="4" w:space="0" w:color="auto"/>
              <w:right w:val="single" w:sz="4" w:space="0" w:color="auto"/>
            </w:tcBorders>
            <w:shd w:val="clear" w:color="auto" w:fill="auto"/>
            <w:hideMark/>
          </w:tcPr>
          <w:p w14:paraId="55E93F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046761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FFA2F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F1A48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4273B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"Discover the Secret to Finding Primes Everywhere!"</w:t>
            </w:r>
          </w:p>
        </w:tc>
        <w:tc>
          <w:tcPr>
            <w:tcW w:w="2566" w:type="dxa"/>
            <w:tcBorders>
              <w:top w:val="nil"/>
              <w:left w:val="nil"/>
              <w:bottom w:val="single" w:sz="4" w:space="0" w:color="auto"/>
              <w:right w:val="single" w:sz="4" w:space="0" w:color="auto"/>
            </w:tcBorders>
            <w:shd w:val="clear" w:color="auto" w:fill="auto"/>
            <w:hideMark/>
          </w:tcPr>
          <w:p w14:paraId="105DF9D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92EE9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A2D0F0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A748B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 Urgency:</w:t>
            </w:r>
          </w:p>
        </w:tc>
        <w:tc>
          <w:tcPr>
            <w:tcW w:w="6762" w:type="dxa"/>
            <w:tcBorders>
              <w:top w:val="nil"/>
              <w:left w:val="nil"/>
              <w:bottom w:val="single" w:sz="4" w:space="0" w:color="auto"/>
              <w:right w:val="single" w:sz="4" w:space="0" w:color="auto"/>
            </w:tcBorders>
            <w:shd w:val="clear" w:color="auto" w:fill="auto"/>
            <w:hideMark/>
          </w:tcPr>
          <w:p w14:paraId="359C4F9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A6D0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E42C9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9D8336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37FB3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CAE155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Incorporate a sense of urgency to prompt immediate action. Use words like "limited time," "last chance," or "don't miss out" to convey urgency.</w:t>
            </w:r>
          </w:p>
        </w:tc>
        <w:tc>
          <w:tcPr>
            <w:tcW w:w="2566" w:type="dxa"/>
            <w:tcBorders>
              <w:top w:val="nil"/>
              <w:left w:val="nil"/>
              <w:bottom w:val="single" w:sz="4" w:space="0" w:color="auto"/>
              <w:right w:val="single" w:sz="4" w:space="0" w:color="auto"/>
            </w:tcBorders>
            <w:shd w:val="clear" w:color="auto" w:fill="auto"/>
            <w:hideMark/>
          </w:tcPr>
          <w:p w14:paraId="3D74D38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8FF09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D8EDC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A506E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05A7F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"Only 24 Hours Left to Join the Prime Revolution!"</w:t>
            </w:r>
          </w:p>
        </w:tc>
        <w:tc>
          <w:tcPr>
            <w:tcW w:w="2566" w:type="dxa"/>
            <w:tcBorders>
              <w:top w:val="nil"/>
              <w:left w:val="nil"/>
              <w:bottom w:val="single" w:sz="4" w:space="0" w:color="auto"/>
              <w:right w:val="single" w:sz="4" w:space="0" w:color="auto"/>
            </w:tcBorders>
            <w:shd w:val="clear" w:color="auto" w:fill="auto"/>
            <w:hideMark/>
          </w:tcPr>
          <w:p w14:paraId="5E09EB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A40CA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60DC97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F7AB2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Clear Calls to Action:</w:t>
            </w:r>
          </w:p>
        </w:tc>
        <w:tc>
          <w:tcPr>
            <w:tcW w:w="6762" w:type="dxa"/>
            <w:tcBorders>
              <w:top w:val="nil"/>
              <w:left w:val="nil"/>
              <w:bottom w:val="single" w:sz="4" w:space="0" w:color="auto"/>
              <w:right w:val="single" w:sz="4" w:space="0" w:color="auto"/>
            </w:tcBorders>
            <w:shd w:val="clear" w:color="auto" w:fill="auto"/>
            <w:hideMark/>
          </w:tcPr>
          <w:p w14:paraId="5D6EFDB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607646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2BA52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4871E5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A3D31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Direct Language:</w:t>
            </w:r>
          </w:p>
        </w:tc>
        <w:tc>
          <w:tcPr>
            <w:tcW w:w="6762" w:type="dxa"/>
            <w:tcBorders>
              <w:top w:val="nil"/>
              <w:left w:val="nil"/>
              <w:bottom w:val="single" w:sz="4" w:space="0" w:color="auto"/>
              <w:right w:val="single" w:sz="4" w:space="0" w:color="auto"/>
            </w:tcBorders>
            <w:shd w:val="clear" w:color="auto" w:fill="auto"/>
            <w:hideMark/>
          </w:tcPr>
          <w:p w14:paraId="7DE6BB6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B03D4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42F6E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6AE91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7DB64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C5C8B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clear, action-oriented language in your calls to action (CTAs) to prompt subscribers to take the desired action.</w:t>
            </w:r>
          </w:p>
        </w:tc>
        <w:tc>
          <w:tcPr>
            <w:tcW w:w="2566" w:type="dxa"/>
            <w:tcBorders>
              <w:top w:val="nil"/>
              <w:left w:val="nil"/>
              <w:bottom w:val="single" w:sz="4" w:space="0" w:color="auto"/>
              <w:right w:val="single" w:sz="4" w:space="0" w:color="auto"/>
            </w:tcBorders>
            <w:shd w:val="clear" w:color="auto" w:fill="auto"/>
            <w:hideMark/>
          </w:tcPr>
          <w:p w14:paraId="33B1B3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9301D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B07CA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FDBE1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5739CA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"Join Now," "Support the Cause," "Get Involved Today!"</w:t>
            </w:r>
          </w:p>
        </w:tc>
        <w:tc>
          <w:tcPr>
            <w:tcW w:w="2566" w:type="dxa"/>
            <w:tcBorders>
              <w:top w:val="nil"/>
              <w:left w:val="nil"/>
              <w:bottom w:val="single" w:sz="4" w:space="0" w:color="auto"/>
              <w:right w:val="single" w:sz="4" w:space="0" w:color="auto"/>
            </w:tcBorders>
            <w:shd w:val="clear" w:color="auto" w:fill="auto"/>
            <w:hideMark/>
          </w:tcPr>
          <w:p w14:paraId="7F4C9F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CBF88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7B9EE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05E8F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Benefit-Oriented:</w:t>
            </w:r>
          </w:p>
        </w:tc>
        <w:tc>
          <w:tcPr>
            <w:tcW w:w="6762" w:type="dxa"/>
            <w:tcBorders>
              <w:top w:val="nil"/>
              <w:left w:val="nil"/>
              <w:bottom w:val="single" w:sz="4" w:space="0" w:color="auto"/>
              <w:right w:val="single" w:sz="4" w:space="0" w:color="auto"/>
            </w:tcBorders>
            <w:shd w:val="clear" w:color="auto" w:fill="auto"/>
            <w:hideMark/>
          </w:tcPr>
          <w:p w14:paraId="64C82E1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E9C1B3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F1EA8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D0AF3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24556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4ECD2A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Highlight the benefits or incentives of taking action to motivate subscribers to click on the CTA.</w:t>
            </w:r>
          </w:p>
        </w:tc>
        <w:tc>
          <w:tcPr>
            <w:tcW w:w="2566" w:type="dxa"/>
            <w:tcBorders>
              <w:top w:val="nil"/>
              <w:left w:val="nil"/>
              <w:bottom w:val="single" w:sz="4" w:space="0" w:color="auto"/>
              <w:right w:val="single" w:sz="4" w:space="0" w:color="auto"/>
            </w:tcBorders>
            <w:shd w:val="clear" w:color="auto" w:fill="auto"/>
            <w:hideMark/>
          </w:tcPr>
          <w:p w14:paraId="4C5AAE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1DA5FB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4BE61D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6BCE63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D9067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"Unlock Exclusive Prime Rewards Now!"</w:t>
            </w:r>
          </w:p>
        </w:tc>
        <w:tc>
          <w:tcPr>
            <w:tcW w:w="2566" w:type="dxa"/>
            <w:tcBorders>
              <w:top w:val="nil"/>
              <w:left w:val="nil"/>
              <w:bottom w:val="single" w:sz="4" w:space="0" w:color="auto"/>
              <w:right w:val="single" w:sz="4" w:space="0" w:color="auto"/>
            </w:tcBorders>
            <w:shd w:val="clear" w:color="auto" w:fill="auto"/>
            <w:hideMark/>
          </w:tcPr>
          <w:p w14:paraId="1BDA542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DEF47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196AE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A86F2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 Visual Emphasis:</w:t>
            </w:r>
          </w:p>
        </w:tc>
        <w:tc>
          <w:tcPr>
            <w:tcW w:w="6762" w:type="dxa"/>
            <w:tcBorders>
              <w:top w:val="nil"/>
              <w:left w:val="nil"/>
              <w:bottom w:val="single" w:sz="4" w:space="0" w:color="auto"/>
              <w:right w:val="single" w:sz="4" w:space="0" w:color="auto"/>
            </w:tcBorders>
            <w:shd w:val="clear" w:color="auto" w:fill="auto"/>
            <w:hideMark/>
          </w:tcPr>
          <w:p w14:paraId="04BCD5B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B60210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59FA1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15434B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76598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5425E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Make CTAs visually prominent by using contrasting colors, bold fonts, or buttons to draw attention to them.</w:t>
            </w:r>
          </w:p>
        </w:tc>
        <w:tc>
          <w:tcPr>
            <w:tcW w:w="2566" w:type="dxa"/>
            <w:tcBorders>
              <w:top w:val="nil"/>
              <w:left w:val="nil"/>
              <w:bottom w:val="single" w:sz="4" w:space="0" w:color="auto"/>
              <w:right w:val="single" w:sz="4" w:space="0" w:color="auto"/>
            </w:tcBorders>
            <w:shd w:val="clear" w:color="auto" w:fill="auto"/>
            <w:hideMark/>
          </w:tcPr>
          <w:p w14:paraId="083E83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D9D37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3DC304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33F6A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8ADBC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Use a bright yellow button with the text "Count Primes Now!"</w:t>
            </w:r>
          </w:p>
        </w:tc>
        <w:tc>
          <w:tcPr>
            <w:tcW w:w="2566" w:type="dxa"/>
            <w:tcBorders>
              <w:top w:val="nil"/>
              <w:left w:val="nil"/>
              <w:bottom w:val="single" w:sz="4" w:space="0" w:color="auto"/>
              <w:right w:val="single" w:sz="4" w:space="0" w:color="auto"/>
            </w:tcBorders>
            <w:shd w:val="clear" w:color="auto" w:fill="auto"/>
            <w:hideMark/>
          </w:tcPr>
          <w:p w14:paraId="471E63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38F91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691A9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154C9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Visually Appealing Content:</w:t>
            </w:r>
          </w:p>
        </w:tc>
        <w:tc>
          <w:tcPr>
            <w:tcW w:w="6762" w:type="dxa"/>
            <w:tcBorders>
              <w:top w:val="nil"/>
              <w:left w:val="nil"/>
              <w:bottom w:val="single" w:sz="4" w:space="0" w:color="auto"/>
              <w:right w:val="single" w:sz="4" w:space="0" w:color="auto"/>
            </w:tcBorders>
            <w:shd w:val="clear" w:color="auto" w:fill="auto"/>
            <w:hideMark/>
          </w:tcPr>
          <w:p w14:paraId="5527293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A6636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2F5EB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AB9EA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666BA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Eye-Catching Design:</w:t>
            </w:r>
          </w:p>
        </w:tc>
        <w:tc>
          <w:tcPr>
            <w:tcW w:w="6762" w:type="dxa"/>
            <w:tcBorders>
              <w:top w:val="nil"/>
              <w:left w:val="nil"/>
              <w:bottom w:val="single" w:sz="4" w:space="0" w:color="auto"/>
              <w:right w:val="single" w:sz="4" w:space="0" w:color="auto"/>
            </w:tcBorders>
            <w:shd w:val="clear" w:color="auto" w:fill="auto"/>
            <w:hideMark/>
          </w:tcPr>
          <w:p w14:paraId="093D754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5C9362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091B88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B5095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72EB0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AEC36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visually appealing design elements, such as high-quality images, graphics, and typography, to create an aesthetically pleasing layout.</w:t>
            </w:r>
          </w:p>
        </w:tc>
        <w:tc>
          <w:tcPr>
            <w:tcW w:w="2566" w:type="dxa"/>
            <w:tcBorders>
              <w:top w:val="nil"/>
              <w:left w:val="nil"/>
              <w:bottom w:val="single" w:sz="4" w:space="0" w:color="auto"/>
              <w:right w:val="single" w:sz="4" w:space="0" w:color="auto"/>
            </w:tcBorders>
            <w:shd w:val="clear" w:color="auto" w:fill="auto"/>
            <w:hideMark/>
          </w:tcPr>
          <w:p w14:paraId="678A52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7D270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16096B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82C07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1FB60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Include vibrant images of prime numbers, mathematical equations, or project-related visuals.</w:t>
            </w:r>
          </w:p>
        </w:tc>
        <w:tc>
          <w:tcPr>
            <w:tcW w:w="2566" w:type="dxa"/>
            <w:tcBorders>
              <w:top w:val="nil"/>
              <w:left w:val="nil"/>
              <w:bottom w:val="single" w:sz="4" w:space="0" w:color="auto"/>
              <w:right w:val="single" w:sz="4" w:space="0" w:color="auto"/>
            </w:tcBorders>
            <w:shd w:val="clear" w:color="auto" w:fill="auto"/>
            <w:hideMark/>
          </w:tcPr>
          <w:p w14:paraId="0B9822D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BA2A1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A4E6B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816C7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Brand Consistency:</w:t>
            </w:r>
          </w:p>
        </w:tc>
        <w:tc>
          <w:tcPr>
            <w:tcW w:w="6762" w:type="dxa"/>
            <w:tcBorders>
              <w:top w:val="nil"/>
              <w:left w:val="nil"/>
              <w:bottom w:val="single" w:sz="4" w:space="0" w:color="auto"/>
              <w:right w:val="single" w:sz="4" w:space="0" w:color="auto"/>
            </w:tcBorders>
            <w:shd w:val="clear" w:color="auto" w:fill="auto"/>
            <w:hideMark/>
          </w:tcPr>
          <w:p w14:paraId="492B2CC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861D1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FFB9B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FEEA4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34451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D4AE17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that the email design aligns with your brand identity, including colors, fonts, and imagery, to maintain consistency and reinforce brand recognition.</w:t>
            </w:r>
          </w:p>
        </w:tc>
        <w:tc>
          <w:tcPr>
            <w:tcW w:w="2566" w:type="dxa"/>
            <w:tcBorders>
              <w:top w:val="nil"/>
              <w:left w:val="nil"/>
              <w:bottom w:val="single" w:sz="4" w:space="0" w:color="auto"/>
              <w:right w:val="single" w:sz="4" w:space="0" w:color="auto"/>
            </w:tcBorders>
            <w:shd w:val="clear" w:color="auto" w:fill="auto"/>
            <w:hideMark/>
          </w:tcPr>
          <w:p w14:paraId="3CB94E5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2F4B5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C84BEA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93F6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658C5F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Use brand colors and logo prominently throughout the email.</w:t>
            </w:r>
          </w:p>
        </w:tc>
        <w:tc>
          <w:tcPr>
            <w:tcW w:w="2566" w:type="dxa"/>
            <w:tcBorders>
              <w:top w:val="nil"/>
              <w:left w:val="nil"/>
              <w:bottom w:val="single" w:sz="4" w:space="0" w:color="auto"/>
              <w:right w:val="single" w:sz="4" w:space="0" w:color="auto"/>
            </w:tcBorders>
            <w:shd w:val="clear" w:color="auto" w:fill="auto"/>
            <w:hideMark/>
          </w:tcPr>
          <w:p w14:paraId="26AF5A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EC4B1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16B4C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6E7E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 Mobile Optimization:</w:t>
            </w:r>
          </w:p>
        </w:tc>
        <w:tc>
          <w:tcPr>
            <w:tcW w:w="6762" w:type="dxa"/>
            <w:tcBorders>
              <w:top w:val="nil"/>
              <w:left w:val="nil"/>
              <w:bottom w:val="single" w:sz="4" w:space="0" w:color="auto"/>
              <w:right w:val="single" w:sz="4" w:space="0" w:color="auto"/>
            </w:tcBorders>
            <w:shd w:val="clear" w:color="auto" w:fill="auto"/>
            <w:hideMark/>
          </w:tcPr>
          <w:p w14:paraId="25E8DB0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1267F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9E8B0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00A461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2ECC5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F633C5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Optimize the email layout and design for mobile devices to ensure a seamless and engaging experience for subscribers accessing emails on smartphones or tablets.</w:t>
            </w:r>
          </w:p>
        </w:tc>
        <w:tc>
          <w:tcPr>
            <w:tcW w:w="2566" w:type="dxa"/>
            <w:tcBorders>
              <w:top w:val="nil"/>
              <w:left w:val="nil"/>
              <w:bottom w:val="single" w:sz="4" w:space="0" w:color="auto"/>
              <w:right w:val="single" w:sz="4" w:space="0" w:color="auto"/>
            </w:tcBorders>
            <w:shd w:val="clear" w:color="auto" w:fill="auto"/>
            <w:hideMark/>
          </w:tcPr>
          <w:p w14:paraId="2D0DC7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C1EB9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147325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62844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786CE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Test the email on various devices and screen sizes to ensure readability and visual appeal.</w:t>
            </w:r>
          </w:p>
        </w:tc>
        <w:tc>
          <w:tcPr>
            <w:tcW w:w="2566" w:type="dxa"/>
            <w:tcBorders>
              <w:top w:val="nil"/>
              <w:left w:val="nil"/>
              <w:bottom w:val="single" w:sz="4" w:space="0" w:color="auto"/>
              <w:right w:val="single" w:sz="4" w:space="0" w:color="auto"/>
            </w:tcBorders>
            <w:shd w:val="clear" w:color="auto" w:fill="auto"/>
            <w:hideMark/>
          </w:tcPr>
          <w:p w14:paraId="57F5E7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E6910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D76C2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0295D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2E3B9D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018A7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CFBF2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456EE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0E0AC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A/B Testing:</w:t>
            </w:r>
          </w:p>
        </w:tc>
        <w:tc>
          <w:tcPr>
            <w:tcW w:w="6762" w:type="dxa"/>
            <w:tcBorders>
              <w:top w:val="nil"/>
              <w:left w:val="nil"/>
              <w:bottom w:val="single" w:sz="4" w:space="0" w:color="auto"/>
              <w:right w:val="single" w:sz="4" w:space="0" w:color="auto"/>
            </w:tcBorders>
            <w:shd w:val="clear" w:color="auto" w:fill="auto"/>
            <w:hideMark/>
          </w:tcPr>
          <w:p w14:paraId="33BF6DA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1DE43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A5C09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AE4B2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AB48F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1A3ED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Experiment with different subject lines, CTAs, and visual elements using A/B testing to identify the most effective combinations for driving engagement and conversions.</w:t>
            </w:r>
          </w:p>
        </w:tc>
        <w:tc>
          <w:tcPr>
            <w:tcW w:w="2566" w:type="dxa"/>
            <w:tcBorders>
              <w:top w:val="nil"/>
              <w:left w:val="nil"/>
              <w:bottom w:val="single" w:sz="4" w:space="0" w:color="auto"/>
              <w:right w:val="single" w:sz="4" w:space="0" w:color="auto"/>
            </w:tcBorders>
            <w:shd w:val="clear" w:color="auto" w:fill="auto"/>
            <w:hideMark/>
          </w:tcPr>
          <w:p w14:paraId="39EA5A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E1768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7DB4D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3756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F4996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Test multiple subject lines to determine which one generates the highest open rates.</w:t>
            </w:r>
          </w:p>
        </w:tc>
        <w:tc>
          <w:tcPr>
            <w:tcW w:w="2566" w:type="dxa"/>
            <w:tcBorders>
              <w:top w:val="nil"/>
              <w:left w:val="nil"/>
              <w:bottom w:val="single" w:sz="4" w:space="0" w:color="auto"/>
              <w:right w:val="single" w:sz="4" w:space="0" w:color="auto"/>
            </w:tcBorders>
            <w:shd w:val="clear" w:color="auto" w:fill="auto"/>
            <w:hideMark/>
          </w:tcPr>
          <w:p w14:paraId="2EAF1C6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65404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A8D14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565FD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Analytics Tracking:</w:t>
            </w:r>
          </w:p>
        </w:tc>
        <w:tc>
          <w:tcPr>
            <w:tcW w:w="6762" w:type="dxa"/>
            <w:tcBorders>
              <w:top w:val="nil"/>
              <w:left w:val="nil"/>
              <w:bottom w:val="single" w:sz="4" w:space="0" w:color="auto"/>
              <w:right w:val="single" w:sz="4" w:space="0" w:color="auto"/>
            </w:tcBorders>
            <w:shd w:val="clear" w:color="auto" w:fill="auto"/>
            <w:hideMark/>
          </w:tcPr>
          <w:p w14:paraId="39A769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686A4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7224BE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5607E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EA544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5AEFB4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Track key metrics such as open rates, click-through rates, and conversions to measure the effectiveness of subject lines, CTAs, and content. Use this data to refine and optimize future email campaigns.</w:t>
            </w:r>
          </w:p>
        </w:tc>
        <w:tc>
          <w:tcPr>
            <w:tcW w:w="2566" w:type="dxa"/>
            <w:tcBorders>
              <w:top w:val="nil"/>
              <w:left w:val="nil"/>
              <w:bottom w:val="single" w:sz="4" w:space="0" w:color="auto"/>
              <w:right w:val="single" w:sz="4" w:space="0" w:color="auto"/>
            </w:tcBorders>
            <w:shd w:val="clear" w:color="auto" w:fill="auto"/>
            <w:hideMark/>
          </w:tcPr>
          <w:p w14:paraId="54EBDA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2E1EB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9C7DD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92E4F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67C0D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Example: Use email marketing software analytics to monitor campaign performance and identify areas for improvement.</w:t>
            </w:r>
          </w:p>
        </w:tc>
        <w:tc>
          <w:tcPr>
            <w:tcW w:w="2566" w:type="dxa"/>
            <w:tcBorders>
              <w:top w:val="nil"/>
              <w:left w:val="nil"/>
              <w:bottom w:val="single" w:sz="4" w:space="0" w:color="auto"/>
              <w:right w:val="single" w:sz="4" w:space="0" w:color="auto"/>
            </w:tcBorders>
            <w:shd w:val="clear" w:color="auto" w:fill="auto"/>
            <w:hideMark/>
          </w:tcPr>
          <w:p w14:paraId="685CAB8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1B53C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25CE1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4278A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411BAA8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including compelling subject lines, clear calls to action, and visually appealing content in email newsletters, the crowdfunding campaign can effectively engage potential backers, drive traffic to the campaign page, and ultimately increase contributions and support for the project.</w:t>
            </w:r>
          </w:p>
        </w:tc>
        <w:tc>
          <w:tcPr>
            <w:tcW w:w="2566" w:type="dxa"/>
            <w:tcBorders>
              <w:top w:val="nil"/>
              <w:left w:val="nil"/>
              <w:bottom w:val="single" w:sz="4" w:space="0" w:color="auto"/>
              <w:right w:val="single" w:sz="4" w:space="0" w:color="auto"/>
            </w:tcBorders>
            <w:shd w:val="clear" w:color="auto" w:fill="auto"/>
            <w:hideMark/>
          </w:tcPr>
          <w:p w14:paraId="5D6B0E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A9771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669D7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7C499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204A1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C780E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878463" w14:textId="77777777" w:rsidTr="0041317E">
        <w:trPr>
          <w:trHeight w:val="4032"/>
        </w:trPr>
        <w:tc>
          <w:tcPr>
            <w:tcW w:w="1349" w:type="dxa"/>
            <w:tcBorders>
              <w:top w:val="nil"/>
              <w:left w:val="single" w:sz="4" w:space="0" w:color="auto"/>
              <w:bottom w:val="single" w:sz="4" w:space="0" w:color="auto"/>
              <w:right w:val="single" w:sz="4" w:space="0" w:color="auto"/>
            </w:tcBorders>
            <w:shd w:val="clear" w:color="auto" w:fill="auto"/>
            <w:hideMark/>
          </w:tcPr>
          <w:p w14:paraId="1549639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7DD22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Press Releases and Media Outreach:</w:t>
            </w:r>
          </w:p>
        </w:tc>
        <w:tc>
          <w:tcPr>
            <w:tcW w:w="6762" w:type="dxa"/>
            <w:tcBorders>
              <w:top w:val="nil"/>
              <w:left w:val="nil"/>
              <w:bottom w:val="single" w:sz="4" w:space="0" w:color="auto"/>
              <w:right w:val="single" w:sz="4" w:space="0" w:color="auto"/>
            </w:tcBorders>
            <w:shd w:val="clear" w:color="auto" w:fill="auto"/>
            <w:hideMark/>
          </w:tcPr>
          <w:p w14:paraId="64F4BEA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Develop a press kit containing key information about the project, including the campaign launch date, funding goal, project overview, team bios, and media assets.</w:t>
            </w:r>
          </w:p>
        </w:tc>
        <w:tc>
          <w:tcPr>
            <w:tcW w:w="2566" w:type="dxa"/>
            <w:tcBorders>
              <w:top w:val="nil"/>
              <w:left w:val="nil"/>
              <w:bottom w:val="single" w:sz="4" w:space="0" w:color="auto"/>
              <w:right w:val="single" w:sz="4" w:space="0" w:color="auto"/>
            </w:tcBorders>
            <w:shd w:val="clear" w:color="auto" w:fill="auto"/>
            <w:hideMark/>
          </w:tcPr>
          <w:p w14:paraId="1C439A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Stickers, and things like magnetic stickers, the paperwork can be a stencil. Pressartkits that can also be ordered from the merchandise store.  This whole growing "Prime Diligence" document in creation is the basis for the open-book investor portfolio that with a minimal donation can be downloaded. Investor eyes only.</w:t>
            </w:r>
          </w:p>
        </w:tc>
      </w:tr>
      <w:tr w:rsidR="0041317E" w:rsidRPr="0041317E" w14:paraId="00CD5DC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1EEA6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7382F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74B9C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Creating a comprehensive press kit is essential for effectively reaching out to media outlets and generating coverage for the crowdfunding campaign. Here's a detailed breakdown of how to develop a press kit and leverage it for media outreach:</w:t>
            </w:r>
          </w:p>
        </w:tc>
        <w:tc>
          <w:tcPr>
            <w:tcW w:w="2566" w:type="dxa"/>
            <w:tcBorders>
              <w:top w:val="nil"/>
              <w:left w:val="nil"/>
              <w:bottom w:val="single" w:sz="4" w:space="0" w:color="auto"/>
              <w:right w:val="single" w:sz="4" w:space="0" w:color="auto"/>
            </w:tcBorders>
            <w:shd w:val="clear" w:color="auto" w:fill="auto"/>
            <w:hideMark/>
          </w:tcPr>
          <w:p w14:paraId="5E0855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62DE2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19408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14ACC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Press Kit Components:</w:t>
            </w:r>
          </w:p>
        </w:tc>
        <w:tc>
          <w:tcPr>
            <w:tcW w:w="6762" w:type="dxa"/>
            <w:tcBorders>
              <w:top w:val="nil"/>
              <w:left w:val="nil"/>
              <w:bottom w:val="single" w:sz="4" w:space="0" w:color="auto"/>
              <w:right w:val="single" w:sz="4" w:space="0" w:color="auto"/>
            </w:tcBorders>
            <w:shd w:val="clear" w:color="auto" w:fill="auto"/>
            <w:hideMark/>
          </w:tcPr>
          <w:p w14:paraId="3F34DF1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A5ED01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FB5E2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5F21E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8B7FB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6AE42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641BCF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15E13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0587CE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DBD59C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Campaign Overview:</w:t>
            </w:r>
          </w:p>
        </w:tc>
        <w:tc>
          <w:tcPr>
            <w:tcW w:w="6762" w:type="dxa"/>
            <w:tcBorders>
              <w:top w:val="nil"/>
              <w:left w:val="nil"/>
              <w:bottom w:val="single" w:sz="4" w:space="0" w:color="auto"/>
              <w:right w:val="single" w:sz="4" w:space="0" w:color="auto"/>
            </w:tcBorders>
            <w:shd w:val="clear" w:color="auto" w:fill="auto"/>
            <w:hideMark/>
          </w:tcPr>
          <w:p w14:paraId="142909C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56992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C7603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86E77B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F374C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6D4EE0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a concise summary of the crowdfunding campaign, highlighting its objectives, significance, and expected impact.</w:t>
            </w:r>
          </w:p>
        </w:tc>
        <w:tc>
          <w:tcPr>
            <w:tcW w:w="2566" w:type="dxa"/>
            <w:tcBorders>
              <w:top w:val="nil"/>
              <w:left w:val="nil"/>
              <w:bottom w:val="single" w:sz="4" w:space="0" w:color="auto"/>
              <w:right w:val="single" w:sz="4" w:space="0" w:color="auto"/>
            </w:tcBorders>
            <w:shd w:val="clear" w:color="auto" w:fill="auto"/>
            <w:hideMark/>
          </w:tcPr>
          <w:p w14:paraId="71BD8C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17A36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EC2CC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1B507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EB9AC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key details such as the campaign launch date, funding goal, and duration.</w:t>
            </w:r>
          </w:p>
        </w:tc>
        <w:tc>
          <w:tcPr>
            <w:tcW w:w="2566" w:type="dxa"/>
            <w:tcBorders>
              <w:top w:val="nil"/>
              <w:left w:val="nil"/>
              <w:bottom w:val="single" w:sz="4" w:space="0" w:color="auto"/>
              <w:right w:val="single" w:sz="4" w:space="0" w:color="auto"/>
            </w:tcBorders>
            <w:shd w:val="clear" w:color="auto" w:fill="auto"/>
            <w:hideMark/>
          </w:tcPr>
          <w:p w14:paraId="659CEC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B0EA8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5E599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3D304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Project Details:</w:t>
            </w:r>
          </w:p>
        </w:tc>
        <w:tc>
          <w:tcPr>
            <w:tcW w:w="6762" w:type="dxa"/>
            <w:tcBorders>
              <w:top w:val="nil"/>
              <w:left w:val="nil"/>
              <w:bottom w:val="single" w:sz="4" w:space="0" w:color="auto"/>
              <w:right w:val="single" w:sz="4" w:space="0" w:color="auto"/>
            </w:tcBorders>
            <w:shd w:val="clear" w:color="auto" w:fill="auto"/>
            <w:hideMark/>
          </w:tcPr>
          <w:p w14:paraId="7A725A5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0115E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DD0C0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220E5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1E9C4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85D756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in-depth information about the project, including its background, purpose, and unique selling points.</w:t>
            </w:r>
          </w:p>
        </w:tc>
        <w:tc>
          <w:tcPr>
            <w:tcW w:w="2566" w:type="dxa"/>
            <w:tcBorders>
              <w:top w:val="nil"/>
              <w:left w:val="nil"/>
              <w:bottom w:val="single" w:sz="4" w:space="0" w:color="auto"/>
              <w:right w:val="single" w:sz="4" w:space="0" w:color="auto"/>
            </w:tcBorders>
            <w:shd w:val="clear" w:color="auto" w:fill="auto"/>
            <w:hideMark/>
          </w:tcPr>
          <w:p w14:paraId="646ED48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3F0DA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D23241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2D2F8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884E9F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Showcase the innovation and relevance of the project within its respective field or industry.</w:t>
            </w:r>
          </w:p>
        </w:tc>
        <w:tc>
          <w:tcPr>
            <w:tcW w:w="2566" w:type="dxa"/>
            <w:tcBorders>
              <w:top w:val="nil"/>
              <w:left w:val="nil"/>
              <w:bottom w:val="single" w:sz="4" w:space="0" w:color="auto"/>
              <w:right w:val="single" w:sz="4" w:space="0" w:color="auto"/>
            </w:tcBorders>
            <w:shd w:val="clear" w:color="auto" w:fill="auto"/>
            <w:hideMark/>
          </w:tcPr>
          <w:p w14:paraId="4E11859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973E7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AFACB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5EE56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 Team Bios:</w:t>
            </w:r>
          </w:p>
        </w:tc>
        <w:tc>
          <w:tcPr>
            <w:tcW w:w="6762" w:type="dxa"/>
            <w:tcBorders>
              <w:top w:val="nil"/>
              <w:left w:val="nil"/>
              <w:bottom w:val="single" w:sz="4" w:space="0" w:color="auto"/>
              <w:right w:val="single" w:sz="4" w:space="0" w:color="auto"/>
            </w:tcBorders>
            <w:shd w:val="clear" w:color="auto" w:fill="auto"/>
            <w:hideMark/>
          </w:tcPr>
          <w:p w14:paraId="4D93F88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0B18D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3D127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34414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D53D6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A1DD5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Introduce the team members involved in the project, including their expertise, credentials, and relevant experience.</w:t>
            </w:r>
          </w:p>
        </w:tc>
        <w:tc>
          <w:tcPr>
            <w:tcW w:w="2566" w:type="dxa"/>
            <w:tcBorders>
              <w:top w:val="nil"/>
              <w:left w:val="nil"/>
              <w:bottom w:val="single" w:sz="4" w:space="0" w:color="auto"/>
              <w:right w:val="single" w:sz="4" w:space="0" w:color="auto"/>
            </w:tcBorders>
            <w:shd w:val="clear" w:color="auto" w:fill="auto"/>
            <w:hideMark/>
          </w:tcPr>
          <w:p w14:paraId="3CB4C6D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3D7E3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7F9B8A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2D56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6D8D4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Highlight each team member's role in the project and how their contributions contribute to its success.</w:t>
            </w:r>
          </w:p>
        </w:tc>
        <w:tc>
          <w:tcPr>
            <w:tcW w:w="2566" w:type="dxa"/>
            <w:tcBorders>
              <w:top w:val="nil"/>
              <w:left w:val="nil"/>
              <w:bottom w:val="single" w:sz="4" w:space="0" w:color="auto"/>
              <w:right w:val="single" w:sz="4" w:space="0" w:color="auto"/>
            </w:tcBorders>
            <w:shd w:val="clear" w:color="auto" w:fill="auto"/>
            <w:hideMark/>
          </w:tcPr>
          <w:p w14:paraId="35D1D74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99045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1FC4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B95F0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 Media Assets:</w:t>
            </w:r>
          </w:p>
        </w:tc>
        <w:tc>
          <w:tcPr>
            <w:tcW w:w="6762" w:type="dxa"/>
            <w:tcBorders>
              <w:top w:val="nil"/>
              <w:left w:val="nil"/>
              <w:bottom w:val="single" w:sz="4" w:space="0" w:color="auto"/>
              <w:right w:val="single" w:sz="4" w:space="0" w:color="auto"/>
            </w:tcBorders>
            <w:shd w:val="clear" w:color="auto" w:fill="auto"/>
            <w:hideMark/>
          </w:tcPr>
          <w:p w14:paraId="1380B40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B87CB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20F61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047695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A05D1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91FD6D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high-resolution images, graphics, and videos that visually represent the project and its features.</w:t>
            </w:r>
          </w:p>
        </w:tc>
        <w:tc>
          <w:tcPr>
            <w:tcW w:w="2566" w:type="dxa"/>
            <w:tcBorders>
              <w:top w:val="nil"/>
              <w:left w:val="nil"/>
              <w:bottom w:val="single" w:sz="4" w:space="0" w:color="auto"/>
              <w:right w:val="single" w:sz="4" w:space="0" w:color="auto"/>
            </w:tcBorders>
            <w:shd w:val="clear" w:color="auto" w:fill="auto"/>
            <w:hideMark/>
          </w:tcPr>
          <w:p w14:paraId="25825C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2A587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C8E0CE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90C78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D42DA2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screenshots, concept art, or promotional materials that capture the essence of the project.</w:t>
            </w:r>
          </w:p>
        </w:tc>
        <w:tc>
          <w:tcPr>
            <w:tcW w:w="2566" w:type="dxa"/>
            <w:tcBorders>
              <w:top w:val="nil"/>
              <w:left w:val="nil"/>
              <w:bottom w:val="single" w:sz="4" w:space="0" w:color="auto"/>
              <w:right w:val="single" w:sz="4" w:space="0" w:color="auto"/>
            </w:tcBorders>
            <w:shd w:val="clear" w:color="auto" w:fill="auto"/>
            <w:hideMark/>
          </w:tcPr>
          <w:p w14:paraId="78B739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4DE12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B9171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ABD28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 Contact Information:</w:t>
            </w:r>
          </w:p>
        </w:tc>
        <w:tc>
          <w:tcPr>
            <w:tcW w:w="6762" w:type="dxa"/>
            <w:tcBorders>
              <w:top w:val="nil"/>
              <w:left w:val="nil"/>
              <w:bottom w:val="single" w:sz="4" w:space="0" w:color="auto"/>
              <w:right w:val="single" w:sz="4" w:space="0" w:color="auto"/>
            </w:tcBorders>
            <w:shd w:val="clear" w:color="auto" w:fill="auto"/>
            <w:hideMark/>
          </w:tcPr>
          <w:p w14:paraId="7BB92D6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A0EF15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7E7A3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8C2D49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621C1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DC6E8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Clearly display contact details for media inquiries, including email addresses and phone numbers.</w:t>
            </w:r>
          </w:p>
        </w:tc>
        <w:tc>
          <w:tcPr>
            <w:tcW w:w="2566" w:type="dxa"/>
            <w:tcBorders>
              <w:top w:val="nil"/>
              <w:left w:val="nil"/>
              <w:bottom w:val="single" w:sz="4" w:space="0" w:color="auto"/>
              <w:right w:val="single" w:sz="4" w:space="0" w:color="auto"/>
            </w:tcBorders>
            <w:shd w:val="clear" w:color="auto" w:fill="auto"/>
            <w:hideMark/>
          </w:tcPr>
          <w:p w14:paraId="668918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C4283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3243A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E206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D303C8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Designate a specific contact person who can address media queries and provide further information as needed.</w:t>
            </w:r>
          </w:p>
        </w:tc>
        <w:tc>
          <w:tcPr>
            <w:tcW w:w="2566" w:type="dxa"/>
            <w:tcBorders>
              <w:top w:val="nil"/>
              <w:left w:val="nil"/>
              <w:bottom w:val="single" w:sz="4" w:space="0" w:color="auto"/>
              <w:right w:val="single" w:sz="4" w:space="0" w:color="auto"/>
            </w:tcBorders>
            <w:shd w:val="clear" w:color="auto" w:fill="auto"/>
            <w:hideMark/>
          </w:tcPr>
          <w:p w14:paraId="2E8E50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32B59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447605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485A8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Press Kit Distribution:</w:t>
            </w:r>
          </w:p>
        </w:tc>
        <w:tc>
          <w:tcPr>
            <w:tcW w:w="6762" w:type="dxa"/>
            <w:tcBorders>
              <w:top w:val="nil"/>
              <w:left w:val="nil"/>
              <w:bottom w:val="single" w:sz="4" w:space="0" w:color="auto"/>
              <w:right w:val="single" w:sz="4" w:space="0" w:color="auto"/>
            </w:tcBorders>
            <w:shd w:val="clear" w:color="auto" w:fill="auto"/>
            <w:hideMark/>
          </w:tcPr>
          <w:p w14:paraId="1FC4B95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9080E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4B676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56DC4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1E80E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Direct Outreach:</w:t>
            </w:r>
          </w:p>
        </w:tc>
        <w:tc>
          <w:tcPr>
            <w:tcW w:w="6762" w:type="dxa"/>
            <w:tcBorders>
              <w:top w:val="nil"/>
              <w:left w:val="nil"/>
              <w:bottom w:val="single" w:sz="4" w:space="0" w:color="auto"/>
              <w:right w:val="single" w:sz="4" w:space="0" w:color="auto"/>
            </w:tcBorders>
            <w:shd w:val="clear" w:color="auto" w:fill="auto"/>
            <w:hideMark/>
          </w:tcPr>
          <w:p w14:paraId="5044F5C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09528D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D58F3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8CB1BA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F0F2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09F2BC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Personally reach out to journalists, bloggers, and media professionals who cover topics related to the project.</w:t>
            </w:r>
          </w:p>
        </w:tc>
        <w:tc>
          <w:tcPr>
            <w:tcW w:w="2566" w:type="dxa"/>
            <w:tcBorders>
              <w:top w:val="nil"/>
              <w:left w:val="nil"/>
              <w:bottom w:val="single" w:sz="4" w:space="0" w:color="auto"/>
              <w:right w:val="single" w:sz="4" w:space="0" w:color="auto"/>
            </w:tcBorders>
            <w:shd w:val="clear" w:color="auto" w:fill="auto"/>
            <w:hideMark/>
          </w:tcPr>
          <w:p w14:paraId="755EC5C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507A7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EE46A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DF466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F9D89C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Send personalized emails introducing the campaign and offering access to the press kit for further information.</w:t>
            </w:r>
          </w:p>
        </w:tc>
        <w:tc>
          <w:tcPr>
            <w:tcW w:w="2566" w:type="dxa"/>
            <w:tcBorders>
              <w:top w:val="nil"/>
              <w:left w:val="nil"/>
              <w:bottom w:val="single" w:sz="4" w:space="0" w:color="auto"/>
              <w:right w:val="single" w:sz="4" w:space="0" w:color="auto"/>
            </w:tcBorders>
            <w:shd w:val="clear" w:color="auto" w:fill="auto"/>
            <w:hideMark/>
          </w:tcPr>
          <w:p w14:paraId="49BC853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68ADBE" w14:textId="77777777" w:rsidTr="0041317E">
        <w:trPr>
          <w:trHeight w:val="354"/>
        </w:trPr>
        <w:tc>
          <w:tcPr>
            <w:tcW w:w="1349" w:type="dxa"/>
            <w:tcBorders>
              <w:top w:val="nil"/>
              <w:left w:val="single" w:sz="4" w:space="0" w:color="auto"/>
              <w:bottom w:val="single" w:sz="4" w:space="0" w:color="auto"/>
              <w:right w:val="single" w:sz="4" w:space="0" w:color="auto"/>
            </w:tcBorders>
            <w:shd w:val="clear" w:color="auto" w:fill="auto"/>
            <w:hideMark/>
          </w:tcPr>
          <w:p w14:paraId="0A76B9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BD7C7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Press Release Distribution:</w:t>
            </w:r>
          </w:p>
        </w:tc>
        <w:tc>
          <w:tcPr>
            <w:tcW w:w="6762" w:type="dxa"/>
            <w:tcBorders>
              <w:top w:val="nil"/>
              <w:left w:val="nil"/>
              <w:bottom w:val="single" w:sz="4" w:space="0" w:color="auto"/>
              <w:right w:val="single" w:sz="4" w:space="0" w:color="auto"/>
            </w:tcBorders>
            <w:shd w:val="clear" w:color="auto" w:fill="auto"/>
            <w:hideMark/>
          </w:tcPr>
          <w:p w14:paraId="0B5C7C3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615BF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28082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9DE18F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712F8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39E9F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Accompany press releases with the press kit to provide journalists with comprehensive background information.</w:t>
            </w:r>
          </w:p>
        </w:tc>
        <w:tc>
          <w:tcPr>
            <w:tcW w:w="2566" w:type="dxa"/>
            <w:tcBorders>
              <w:top w:val="nil"/>
              <w:left w:val="nil"/>
              <w:bottom w:val="single" w:sz="4" w:space="0" w:color="auto"/>
              <w:right w:val="single" w:sz="4" w:space="0" w:color="auto"/>
            </w:tcBorders>
            <w:shd w:val="clear" w:color="auto" w:fill="auto"/>
            <w:hideMark/>
          </w:tcPr>
          <w:p w14:paraId="4DD0CB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86AFC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0CD00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8CB9E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8C4C0E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Distribute press releases through wire services, press release distribution platforms, and targeted media lists.</w:t>
            </w:r>
          </w:p>
        </w:tc>
        <w:tc>
          <w:tcPr>
            <w:tcW w:w="2566" w:type="dxa"/>
            <w:tcBorders>
              <w:top w:val="nil"/>
              <w:left w:val="nil"/>
              <w:bottom w:val="single" w:sz="4" w:space="0" w:color="auto"/>
              <w:right w:val="single" w:sz="4" w:space="0" w:color="auto"/>
            </w:tcBorders>
            <w:shd w:val="clear" w:color="auto" w:fill="auto"/>
            <w:hideMark/>
          </w:tcPr>
          <w:p w14:paraId="4F299D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DAEBC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C1271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A9B55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 Media Events:</w:t>
            </w:r>
          </w:p>
        </w:tc>
        <w:tc>
          <w:tcPr>
            <w:tcW w:w="6762" w:type="dxa"/>
            <w:tcBorders>
              <w:top w:val="nil"/>
              <w:left w:val="nil"/>
              <w:bottom w:val="single" w:sz="4" w:space="0" w:color="auto"/>
              <w:right w:val="single" w:sz="4" w:space="0" w:color="auto"/>
            </w:tcBorders>
            <w:shd w:val="clear" w:color="auto" w:fill="auto"/>
            <w:hideMark/>
          </w:tcPr>
          <w:p w14:paraId="7B9EAA6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FD70B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65686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A9451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128F1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E07737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Host virtual or in-person media events, such as press conferences or webinars, to showcase the project and engage with journalists directly.</w:t>
            </w:r>
          </w:p>
        </w:tc>
        <w:tc>
          <w:tcPr>
            <w:tcW w:w="2566" w:type="dxa"/>
            <w:tcBorders>
              <w:top w:val="nil"/>
              <w:left w:val="nil"/>
              <w:bottom w:val="single" w:sz="4" w:space="0" w:color="auto"/>
              <w:right w:val="single" w:sz="4" w:space="0" w:color="auto"/>
            </w:tcBorders>
            <w:shd w:val="clear" w:color="auto" w:fill="auto"/>
            <w:hideMark/>
          </w:tcPr>
          <w:p w14:paraId="6EE572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2E278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463B06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73500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D2435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access to the press kit during these events for journalists to reference and download.</w:t>
            </w:r>
          </w:p>
        </w:tc>
        <w:tc>
          <w:tcPr>
            <w:tcW w:w="2566" w:type="dxa"/>
            <w:tcBorders>
              <w:top w:val="nil"/>
              <w:left w:val="nil"/>
              <w:bottom w:val="single" w:sz="4" w:space="0" w:color="auto"/>
              <w:right w:val="single" w:sz="4" w:space="0" w:color="auto"/>
            </w:tcBorders>
            <w:shd w:val="clear" w:color="auto" w:fill="auto"/>
            <w:hideMark/>
          </w:tcPr>
          <w:p w14:paraId="3E6DFA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14597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1AF5B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5FE2A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Press Kit Promotion:</w:t>
            </w:r>
          </w:p>
        </w:tc>
        <w:tc>
          <w:tcPr>
            <w:tcW w:w="6762" w:type="dxa"/>
            <w:tcBorders>
              <w:top w:val="nil"/>
              <w:left w:val="nil"/>
              <w:bottom w:val="single" w:sz="4" w:space="0" w:color="auto"/>
              <w:right w:val="single" w:sz="4" w:space="0" w:color="auto"/>
            </w:tcBorders>
            <w:shd w:val="clear" w:color="auto" w:fill="auto"/>
            <w:hideMark/>
          </w:tcPr>
          <w:p w14:paraId="0C876EA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2AC96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D2774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1B94A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691EE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Social Media Promotion:</w:t>
            </w:r>
          </w:p>
        </w:tc>
        <w:tc>
          <w:tcPr>
            <w:tcW w:w="6762" w:type="dxa"/>
            <w:tcBorders>
              <w:top w:val="nil"/>
              <w:left w:val="nil"/>
              <w:bottom w:val="single" w:sz="4" w:space="0" w:color="auto"/>
              <w:right w:val="single" w:sz="4" w:space="0" w:color="auto"/>
            </w:tcBorders>
            <w:shd w:val="clear" w:color="auto" w:fill="auto"/>
            <w:hideMark/>
          </w:tcPr>
          <w:p w14:paraId="37D4301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24562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16CF7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737098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7664D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A07D7F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Share excerpts from the press kit on social media platforms to generate interest and anticipation among followers.</w:t>
            </w:r>
          </w:p>
        </w:tc>
        <w:tc>
          <w:tcPr>
            <w:tcW w:w="2566" w:type="dxa"/>
            <w:tcBorders>
              <w:top w:val="nil"/>
              <w:left w:val="nil"/>
              <w:bottom w:val="single" w:sz="4" w:space="0" w:color="auto"/>
              <w:right w:val="single" w:sz="4" w:space="0" w:color="auto"/>
            </w:tcBorders>
            <w:shd w:val="clear" w:color="auto" w:fill="auto"/>
            <w:hideMark/>
          </w:tcPr>
          <w:p w14:paraId="39F5C1C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334D3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A221D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E356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188D5A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journalists and influencers to access the press kit by tagging them in posts or sharing direct links.</w:t>
            </w:r>
          </w:p>
        </w:tc>
        <w:tc>
          <w:tcPr>
            <w:tcW w:w="2566" w:type="dxa"/>
            <w:tcBorders>
              <w:top w:val="nil"/>
              <w:left w:val="nil"/>
              <w:bottom w:val="single" w:sz="4" w:space="0" w:color="auto"/>
              <w:right w:val="single" w:sz="4" w:space="0" w:color="auto"/>
            </w:tcBorders>
            <w:shd w:val="clear" w:color="auto" w:fill="auto"/>
            <w:hideMark/>
          </w:tcPr>
          <w:p w14:paraId="497907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02D975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22649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EE776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Website Integration:</w:t>
            </w:r>
          </w:p>
        </w:tc>
        <w:tc>
          <w:tcPr>
            <w:tcW w:w="6762" w:type="dxa"/>
            <w:tcBorders>
              <w:top w:val="nil"/>
              <w:left w:val="nil"/>
              <w:bottom w:val="single" w:sz="4" w:space="0" w:color="auto"/>
              <w:right w:val="single" w:sz="4" w:space="0" w:color="auto"/>
            </w:tcBorders>
            <w:shd w:val="clear" w:color="auto" w:fill="auto"/>
            <w:hideMark/>
          </w:tcPr>
          <w:p w14:paraId="2467FC7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44C5A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75DD7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012E62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13427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E9140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a dedicated press kit section on the project website where journalists and media professionals can easily access and download the press materials.</w:t>
            </w:r>
          </w:p>
        </w:tc>
        <w:tc>
          <w:tcPr>
            <w:tcW w:w="2566" w:type="dxa"/>
            <w:tcBorders>
              <w:top w:val="nil"/>
              <w:left w:val="nil"/>
              <w:bottom w:val="single" w:sz="4" w:space="0" w:color="auto"/>
              <w:right w:val="single" w:sz="4" w:space="0" w:color="auto"/>
            </w:tcBorders>
            <w:shd w:val="clear" w:color="auto" w:fill="auto"/>
            <w:hideMark/>
          </w:tcPr>
          <w:p w14:paraId="51B28A7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7D11D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9BE75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B4437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08CDDC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Optimize the press kit page for search engines to increase its visibility and accessibility online.</w:t>
            </w:r>
          </w:p>
        </w:tc>
        <w:tc>
          <w:tcPr>
            <w:tcW w:w="2566" w:type="dxa"/>
            <w:tcBorders>
              <w:top w:val="nil"/>
              <w:left w:val="nil"/>
              <w:bottom w:val="single" w:sz="4" w:space="0" w:color="auto"/>
              <w:right w:val="single" w:sz="4" w:space="0" w:color="auto"/>
            </w:tcBorders>
            <w:shd w:val="clear" w:color="auto" w:fill="auto"/>
            <w:hideMark/>
          </w:tcPr>
          <w:p w14:paraId="172437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6FD24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021DCD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22E4E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Follow-Up and Engagement:</w:t>
            </w:r>
          </w:p>
        </w:tc>
        <w:tc>
          <w:tcPr>
            <w:tcW w:w="6762" w:type="dxa"/>
            <w:tcBorders>
              <w:top w:val="nil"/>
              <w:left w:val="nil"/>
              <w:bottom w:val="single" w:sz="4" w:space="0" w:color="auto"/>
              <w:right w:val="single" w:sz="4" w:space="0" w:color="auto"/>
            </w:tcBorders>
            <w:shd w:val="clear" w:color="auto" w:fill="auto"/>
            <w:hideMark/>
          </w:tcPr>
          <w:p w14:paraId="5BB3300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456CE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8486B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AE1D6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EF43C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 Follow-Up Emails:</w:t>
            </w:r>
          </w:p>
        </w:tc>
        <w:tc>
          <w:tcPr>
            <w:tcW w:w="6762" w:type="dxa"/>
            <w:tcBorders>
              <w:top w:val="nil"/>
              <w:left w:val="nil"/>
              <w:bottom w:val="single" w:sz="4" w:space="0" w:color="auto"/>
              <w:right w:val="single" w:sz="4" w:space="0" w:color="auto"/>
            </w:tcBorders>
            <w:shd w:val="clear" w:color="auto" w:fill="auto"/>
            <w:hideMark/>
          </w:tcPr>
          <w:p w14:paraId="6A07B0C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415EF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4492B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F318C6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E4F8E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D2E994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Send follow-up emails to journalists who have received the press kit to gauge their interest and offer further assistance or information.</w:t>
            </w:r>
          </w:p>
        </w:tc>
        <w:tc>
          <w:tcPr>
            <w:tcW w:w="2566" w:type="dxa"/>
            <w:tcBorders>
              <w:top w:val="nil"/>
              <w:left w:val="nil"/>
              <w:bottom w:val="single" w:sz="4" w:space="0" w:color="auto"/>
              <w:right w:val="single" w:sz="4" w:space="0" w:color="auto"/>
            </w:tcBorders>
            <w:shd w:val="clear" w:color="auto" w:fill="auto"/>
            <w:hideMark/>
          </w:tcPr>
          <w:p w14:paraId="5FBC0CD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5227B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DBCE8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433DC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A6C01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prompt responses to any inquiries or requests for interviews or additional materials.</w:t>
            </w:r>
          </w:p>
        </w:tc>
        <w:tc>
          <w:tcPr>
            <w:tcW w:w="2566" w:type="dxa"/>
            <w:tcBorders>
              <w:top w:val="nil"/>
              <w:left w:val="nil"/>
              <w:bottom w:val="single" w:sz="4" w:space="0" w:color="auto"/>
              <w:right w:val="single" w:sz="4" w:space="0" w:color="auto"/>
            </w:tcBorders>
            <w:shd w:val="clear" w:color="auto" w:fill="auto"/>
            <w:hideMark/>
          </w:tcPr>
          <w:p w14:paraId="7924B5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F74D6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AC971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09227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b. Relationship Building:</w:t>
            </w:r>
          </w:p>
        </w:tc>
        <w:tc>
          <w:tcPr>
            <w:tcW w:w="6762" w:type="dxa"/>
            <w:tcBorders>
              <w:top w:val="nil"/>
              <w:left w:val="nil"/>
              <w:bottom w:val="single" w:sz="4" w:space="0" w:color="auto"/>
              <w:right w:val="single" w:sz="4" w:space="0" w:color="auto"/>
            </w:tcBorders>
            <w:shd w:val="clear" w:color="auto" w:fill="auto"/>
            <w:hideMark/>
          </w:tcPr>
          <w:p w14:paraId="427D41F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A58AD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9E48C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61C7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3729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138FBF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Foster ongoing relationships with media contacts by staying in touch and providing regular updates on the project's progress.</w:t>
            </w:r>
          </w:p>
        </w:tc>
        <w:tc>
          <w:tcPr>
            <w:tcW w:w="2566" w:type="dxa"/>
            <w:tcBorders>
              <w:top w:val="nil"/>
              <w:left w:val="nil"/>
              <w:bottom w:val="single" w:sz="4" w:space="0" w:color="auto"/>
              <w:right w:val="single" w:sz="4" w:space="0" w:color="auto"/>
            </w:tcBorders>
            <w:shd w:val="clear" w:color="auto" w:fill="auto"/>
            <w:hideMark/>
          </w:tcPr>
          <w:p w14:paraId="422710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C0798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65A3C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CEF3D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46DE2B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exclusive access or opportunities for media partners to stay engaged and invested in the project.</w:t>
            </w:r>
          </w:p>
        </w:tc>
        <w:tc>
          <w:tcPr>
            <w:tcW w:w="2566" w:type="dxa"/>
            <w:tcBorders>
              <w:top w:val="nil"/>
              <w:left w:val="nil"/>
              <w:bottom w:val="single" w:sz="4" w:space="0" w:color="auto"/>
              <w:right w:val="single" w:sz="4" w:space="0" w:color="auto"/>
            </w:tcBorders>
            <w:shd w:val="clear" w:color="auto" w:fill="auto"/>
            <w:hideMark/>
          </w:tcPr>
          <w:p w14:paraId="56A03FE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1FDD2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F0400F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A70A4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Development: </w:t>
            </w:r>
          </w:p>
        </w:tc>
        <w:tc>
          <w:tcPr>
            <w:tcW w:w="6762" w:type="dxa"/>
            <w:tcBorders>
              <w:top w:val="nil"/>
              <w:left w:val="nil"/>
              <w:bottom w:val="single" w:sz="4" w:space="0" w:color="auto"/>
              <w:right w:val="single" w:sz="4" w:space="0" w:color="auto"/>
            </w:tcBorders>
            <w:shd w:val="clear" w:color="auto" w:fill="auto"/>
            <w:hideMark/>
          </w:tcPr>
          <w:p w14:paraId="1E4154B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developing a comprehensive press kit and strategically leveraging it for media outreach, the crowdfunding campaign can effectively capture the attention of journalists and media outlets, resulting in increased visibility and coverage for the project.</w:t>
            </w:r>
          </w:p>
        </w:tc>
        <w:tc>
          <w:tcPr>
            <w:tcW w:w="2566" w:type="dxa"/>
            <w:tcBorders>
              <w:top w:val="nil"/>
              <w:left w:val="nil"/>
              <w:bottom w:val="single" w:sz="4" w:space="0" w:color="auto"/>
              <w:right w:val="single" w:sz="4" w:space="0" w:color="auto"/>
            </w:tcBorders>
            <w:shd w:val="clear" w:color="auto" w:fill="auto"/>
            <w:hideMark/>
          </w:tcPr>
          <w:p w14:paraId="4B5C39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4E8FE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D7404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E41CB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2E775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9A51C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6D6E42" w14:textId="77777777" w:rsidTr="0041317E">
        <w:trPr>
          <w:trHeight w:val="2304"/>
        </w:trPr>
        <w:tc>
          <w:tcPr>
            <w:tcW w:w="1349" w:type="dxa"/>
            <w:tcBorders>
              <w:top w:val="nil"/>
              <w:left w:val="single" w:sz="4" w:space="0" w:color="auto"/>
              <w:bottom w:val="single" w:sz="4" w:space="0" w:color="auto"/>
              <w:right w:val="single" w:sz="4" w:space="0" w:color="auto"/>
            </w:tcBorders>
            <w:shd w:val="clear" w:color="auto" w:fill="auto"/>
            <w:hideMark/>
          </w:tcPr>
          <w:p w14:paraId="26F484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96FF7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Press Releases and Media Outreach:</w:t>
            </w:r>
          </w:p>
        </w:tc>
        <w:tc>
          <w:tcPr>
            <w:tcW w:w="6762" w:type="dxa"/>
            <w:tcBorders>
              <w:top w:val="nil"/>
              <w:left w:val="nil"/>
              <w:bottom w:val="single" w:sz="4" w:space="0" w:color="auto"/>
              <w:right w:val="single" w:sz="4" w:space="0" w:color="auto"/>
            </w:tcBorders>
            <w:shd w:val="clear" w:color="auto" w:fill="auto"/>
            <w:hideMark/>
          </w:tcPr>
          <w:p w14:paraId="74D265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Write and distribute press releases to relevant journalists, bloggers, podcasters, and media outlets covering topics related to mathematics, science, technology, or crowdfunding.</w:t>
            </w:r>
          </w:p>
        </w:tc>
        <w:tc>
          <w:tcPr>
            <w:tcW w:w="2566" w:type="dxa"/>
            <w:tcBorders>
              <w:top w:val="nil"/>
              <w:left w:val="nil"/>
              <w:bottom w:val="single" w:sz="4" w:space="0" w:color="auto"/>
              <w:right w:val="single" w:sz="4" w:space="0" w:color="auto"/>
            </w:tcBorders>
            <w:shd w:val="clear" w:color="auto" w:fill="auto"/>
            <w:hideMark/>
          </w:tcPr>
          <w:p w14:paraId="468D86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Find if any one-person achievements have been made.  Build the origin story for why prime.  Seek out science entrepreneur enthusiasts and interview for Prime Radio Weekly Broadcast.</w:t>
            </w:r>
          </w:p>
        </w:tc>
      </w:tr>
      <w:tr w:rsidR="0041317E" w:rsidRPr="0041317E" w14:paraId="30B03B8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72BB5B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E6075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B5603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Crafting compelling press releases and leveraging media outreach can significantly enhance the visibility and credibility of the crowdfunding campaign. Here's an in-depth guide on how to effectively write and distribute press releases for media outreach:</w:t>
            </w:r>
          </w:p>
        </w:tc>
        <w:tc>
          <w:tcPr>
            <w:tcW w:w="2566" w:type="dxa"/>
            <w:tcBorders>
              <w:top w:val="nil"/>
              <w:left w:val="nil"/>
              <w:bottom w:val="single" w:sz="4" w:space="0" w:color="auto"/>
              <w:right w:val="single" w:sz="4" w:space="0" w:color="auto"/>
            </w:tcBorders>
            <w:shd w:val="clear" w:color="auto" w:fill="auto"/>
            <w:hideMark/>
          </w:tcPr>
          <w:p w14:paraId="7239DB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F8056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3E972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CD2B8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Define the Message:</w:t>
            </w:r>
          </w:p>
        </w:tc>
        <w:tc>
          <w:tcPr>
            <w:tcW w:w="6762" w:type="dxa"/>
            <w:tcBorders>
              <w:top w:val="nil"/>
              <w:left w:val="nil"/>
              <w:bottom w:val="single" w:sz="4" w:space="0" w:color="auto"/>
              <w:right w:val="single" w:sz="4" w:space="0" w:color="auto"/>
            </w:tcBorders>
            <w:shd w:val="clear" w:color="auto" w:fill="auto"/>
            <w:hideMark/>
          </w:tcPr>
          <w:p w14:paraId="230B4FC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0063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9FFB6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EF3C0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1E233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Origin Story: </w:t>
            </w:r>
          </w:p>
        </w:tc>
        <w:tc>
          <w:tcPr>
            <w:tcW w:w="6762" w:type="dxa"/>
            <w:tcBorders>
              <w:top w:val="nil"/>
              <w:left w:val="nil"/>
              <w:bottom w:val="single" w:sz="4" w:space="0" w:color="auto"/>
              <w:right w:val="single" w:sz="4" w:space="0" w:color="auto"/>
            </w:tcBorders>
            <w:shd w:val="clear" w:color="auto" w:fill="auto"/>
            <w:hideMark/>
          </w:tcPr>
          <w:p w14:paraId="373A4A3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Begin with a captivating narrative that outlines the inspiration behind the project and its journey from conception to crowdfunding campaign launch.</w:t>
            </w:r>
          </w:p>
        </w:tc>
        <w:tc>
          <w:tcPr>
            <w:tcW w:w="2566" w:type="dxa"/>
            <w:tcBorders>
              <w:top w:val="nil"/>
              <w:left w:val="nil"/>
              <w:bottom w:val="single" w:sz="4" w:space="0" w:color="auto"/>
              <w:right w:val="single" w:sz="4" w:space="0" w:color="auto"/>
            </w:tcBorders>
            <w:shd w:val="clear" w:color="auto" w:fill="auto"/>
            <w:hideMark/>
          </w:tcPr>
          <w:p w14:paraId="523E6B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83F74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77D27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5EDF4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Unique Selling Points: </w:t>
            </w:r>
          </w:p>
        </w:tc>
        <w:tc>
          <w:tcPr>
            <w:tcW w:w="6762" w:type="dxa"/>
            <w:tcBorders>
              <w:top w:val="nil"/>
              <w:left w:val="nil"/>
              <w:bottom w:val="single" w:sz="4" w:space="0" w:color="auto"/>
              <w:right w:val="single" w:sz="4" w:space="0" w:color="auto"/>
            </w:tcBorders>
            <w:shd w:val="clear" w:color="auto" w:fill="auto"/>
            <w:hideMark/>
          </w:tcPr>
          <w:p w14:paraId="2DA8C71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Highlight the innovative features, benefits, and potential impact of the project, emphasizing what sets it apart from similar initiatives.</w:t>
            </w:r>
          </w:p>
        </w:tc>
        <w:tc>
          <w:tcPr>
            <w:tcW w:w="2566" w:type="dxa"/>
            <w:tcBorders>
              <w:top w:val="nil"/>
              <w:left w:val="nil"/>
              <w:bottom w:val="single" w:sz="4" w:space="0" w:color="auto"/>
              <w:right w:val="single" w:sz="4" w:space="0" w:color="auto"/>
            </w:tcBorders>
            <w:shd w:val="clear" w:color="auto" w:fill="auto"/>
            <w:hideMark/>
          </w:tcPr>
          <w:p w14:paraId="3EE99E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03AC6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8B2CD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7D4FD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Achievements: </w:t>
            </w:r>
          </w:p>
        </w:tc>
        <w:tc>
          <w:tcPr>
            <w:tcW w:w="6762" w:type="dxa"/>
            <w:tcBorders>
              <w:top w:val="nil"/>
              <w:left w:val="nil"/>
              <w:bottom w:val="single" w:sz="4" w:space="0" w:color="auto"/>
              <w:right w:val="single" w:sz="4" w:space="0" w:color="auto"/>
            </w:tcBorders>
            <w:shd w:val="clear" w:color="auto" w:fill="auto"/>
            <w:hideMark/>
          </w:tcPr>
          <w:p w14:paraId="486BAF0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Showcase any notable milestones, breakthroughs, or achievements attained during the development process, underscoring the project's progress and viability.</w:t>
            </w:r>
          </w:p>
        </w:tc>
        <w:tc>
          <w:tcPr>
            <w:tcW w:w="2566" w:type="dxa"/>
            <w:tcBorders>
              <w:top w:val="nil"/>
              <w:left w:val="nil"/>
              <w:bottom w:val="single" w:sz="4" w:space="0" w:color="auto"/>
              <w:right w:val="single" w:sz="4" w:space="0" w:color="auto"/>
            </w:tcBorders>
            <w:shd w:val="clear" w:color="auto" w:fill="auto"/>
            <w:hideMark/>
          </w:tcPr>
          <w:p w14:paraId="6626C9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D2F7A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CFA24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4E22B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Craft the Press Release:</w:t>
            </w:r>
          </w:p>
        </w:tc>
        <w:tc>
          <w:tcPr>
            <w:tcW w:w="6762" w:type="dxa"/>
            <w:tcBorders>
              <w:top w:val="nil"/>
              <w:left w:val="nil"/>
              <w:bottom w:val="single" w:sz="4" w:space="0" w:color="auto"/>
              <w:right w:val="single" w:sz="4" w:space="0" w:color="auto"/>
            </w:tcBorders>
            <w:shd w:val="clear" w:color="auto" w:fill="auto"/>
            <w:hideMark/>
          </w:tcPr>
          <w:p w14:paraId="279784E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D350E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996663" w14:textId="77777777" w:rsidTr="0041317E">
        <w:trPr>
          <w:trHeight w:val="3432"/>
        </w:trPr>
        <w:tc>
          <w:tcPr>
            <w:tcW w:w="1349" w:type="dxa"/>
            <w:tcBorders>
              <w:top w:val="nil"/>
              <w:left w:val="single" w:sz="4" w:space="0" w:color="auto"/>
              <w:bottom w:val="single" w:sz="4" w:space="0" w:color="auto"/>
              <w:right w:val="single" w:sz="4" w:space="0" w:color="auto"/>
            </w:tcBorders>
            <w:shd w:val="clear" w:color="auto" w:fill="auto"/>
            <w:hideMark/>
          </w:tcPr>
          <w:p w14:paraId="137447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F4F27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Headline: </w:t>
            </w:r>
          </w:p>
        </w:tc>
        <w:tc>
          <w:tcPr>
            <w:tcW w:w="6762" w:type="dxa"/>
            <w:tcBorders>
              <w:top w:val="nil"/>
              <w:left w:val="nil"/>
              <w:bottom w:val="single" w:sz="4" w:space="0" w:color="auto"/>
              <w:right w:val="single" w:sz="4" w:space="0" w:color="auto"/>
            </w:tcBorders>
            <w:shd w:val="clear" w:color="auto" w:fill="auto"/>
            <w:hideMark/>
          </w:tcPr>
          <w:p w14:paraId="4605FC7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a attention-grabbing headline that succinctly summarizes the key message or announcement of the press release. b. Introduction: Provide a brief overview of the project and its significance, captivating the reader's interest from the outset. c. Body: Expand on the key points mentioned in the introduction, incorporating compelling details, quotes, and statistics to support the project's value proposition. d. Multimedia Elements: Include multimedia elements such as images, videos, or infographics to enhance the visual appeal and storytelling of the press release. e. Boilerplate: Conclude the press release with a brief boilerplate section containing background information about the project, the organization behind it, and relevant contact details.</w:t>
            </w:r>
          </w:p>
        </w:tc>
        <w:tc>
          <w:tcPr>
            <w:tcW w:w="2566" w:type="dxa"/>
            <w:tcBorders>
              <w:top w:val="nil"/>
              <w:left w:val="nil"/>
              <w:bottom w:val="single" w:sz="4" w:space="0" w:color="auto"/>
              <w:right w:val="single" w:sz="4" w:space="0" w:color="auto"/>
            </w:tcBorders>
            <w:shd w:val="clear" w:color="auto" w:fill="auto"/>
            <w:hideMark/>
          </w:tcPr>
          <w:p w14:paraId="6EB3679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1E98F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EF9EB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BB8B7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Tailor to Audience:</w:t>
            </w:r>
          </w:p>
        </w:tc>
        <w:tc>
          <w:tcPr>
            <w:tcW w:w="6762" w:type="dxa"/>
            <w:tcBorders>
              <w:top w:val="nil"/>
              <w:left w:val="nil"/>
              <w:bottom w:val="single" w:sz="4" w:space="0" w:color="auto"/>
              <w:right w:val="single" w:sz="4" w:space="0" w:color="auto"/>
            </w:tcBorders>
            <w:shd w:val="clear" w:color="auto" w:fill="auto"/>
            <w:hideMark/>
          </w:tcPr>
          <w:p w14:paraId="19E25F7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C7484F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0FA73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9DEA7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CF919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Research: </w:t>
            </w:r>
          </w:p>
        </w:tc>
        <w:tc>
          <w:tcPr>
            <w:tcW w:w="6762" w:type="dxa"/>
            <w:tcBorders>
              <w:top w:val="nil"/>
              <w:left w:val="nil"/>
              <w:bottom w:val="single" w:sz="4" w:space="0" w:color="auto"/>
              <w:right w:val="single" w:sz="4" w:space="0" w:color="auto"/>
            </w:tcBorders>
            <w:shd w:val="clear" w:color="auto" w:fill="auto"/>
            <w:hideMark/>
          </w:tcPr>
          <w:p w14:paraId="2F100F0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Identify journalists, bloggers, podcasters, and media outlets that cover topics related to mathematics, science, technology, or crowdfunding.</w:t>
            </w:r>
          </w:p>
        </w:tc>
        <w:tc>
          <w:tcPr>
            <w:tcW w:w="2566" w:type="dxa"/>
            <w:tcBorders>
              <w:top w:val="nil"/>
              <w:left w:val="nil"/>
              <w:bottom w:val="single" w:sz="4" w:space="0" w:color="auto"/>
              <w:right w:val="single" w:sz="4" w:space="0" w:color="auto"/>
            </w:tcBorders>
            <w:shd w:val="clear" w:color="auto" w:fill="auto"/>
            <w:hideMark/>
          </w:tcPr>
          <w:p w14:paraId="161CCD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814CD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58E7A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FEE0C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Customization: </w:t>
            </w:r>
          </w:p>
        </w:tc>
        <w:tc>
          <w:tcPr>
            <w:tcW w:w="6762" w:type="dxa"/>
            <w:tcBorders>
              <w:top w:val="nil"/>
              <w:left w:val="nil"/>
              <w:bottom w:val="single" w:sz="4" w:space="0" w:color="auto"/>
              <w:right w:val="single" w:sz="4" w:space="0" w:color="auto"/>
            </w:tcBorders>
            <w:shd w:val="clear" w:color="auto" w:fill="auto"/>
            <w:hideMark/>
          </w:tcPr>
          <w:p w14:paraId="4E01655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Customize each press release to cater to the specific interests and preferences of the target audience, highlighting aspects of the project that resonate with their readership or viewership.</w:t>
            </w:r>
          </w:p>
        </w:tc>
        <w:tc>
          <w:tcPr>
            <w:tcW w:w="2566" w:type="dxa"/>
            <w:tcBorders>
              <w:top w:val="nil"/>
              <w:left w:val="nil"/>
              <w:bottom w:val="single" w:sz="4" w:space="0" w:color="auto"/>
              <w:right w:val="single" w:sz="4" w:space="0" w:color="auto"/>
            </w:tcBorders>
            <w:shd w:val="clear" w:color="auto" w:fill="auto"/>
            <w:hideMark/>
          </w:tcPr>
          <w:p w14:paraId="2699A5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ED1BC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E6D0E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DD815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Distribution Strategy:</w:t>
            </w:r>
          </w:p>
        </w:tc>
        <w:tc>
          <w:tcPr>
            <w:tcW w:w="6762" w:type="dxa"/>
            <w:tcBorders>
              <w:top w:val="nil"/>
              <w:left w:val="nil"/>
              <w:bottom w:val="single" w:sz="4" w:space="0" w:color="auto"/>
              <w:right w:val="single" w:sz="4" w:space="0" w:color="auto"/>
            </w:tcBorders>
            <w:shd w:val="clear" w:color="auto" w:fill="auto"/>
            <w:hideMark/>
          </w:tcPr>
          <w:p w14:paraId="74B819F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5C9AC8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F89AC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750500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1A099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Targeted Outreach: </w:t>
            </w:r>
          </w:p>
        </w:tc>
        <w:tc>
          <w:tcPr>
            <w:tcW w:w="6762" w:type="dxa"/>
            <w:tcBorders>
              <w:top w:val="nil"/>
              <w:left w:val="nil"/>
              <w:bottom w:val="single" w:sz="4" w:space="0" w:color="auto"/>
              <w:right w:val="single" w:sz="4" w:space="0" w:color="auto"/>
            </w:tcBorders>
            <w:shd w:val="clear" w:color="auto" w:fill="auto"/>
            <w:hideMark/>
          </w:tcPr>
          <w:p w14:paraId="14EF77F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xml:space="preserve">Personally reach out to journalists, bloggers, and media professionals via email, introducing the project and offering access to the press release and press kit. b. Press Release Distribution Services: Utilize press release distribution services to disseminate the press release to a broader network of media outlets, ensuring maximum visibility and coverage. c. Follow-Up: </w:t>
            </w:r>
          </w:p>
        </w:tc>
        <w:tc>
          <w:tcPr>
            <w:tcW w:w="2566" w:type="dxa"/>
            <w:tcBorders>
              <w:top w:val="nil"/>
              <w:left w:val="nil"/>
              <w:bottom w:val="single" w:sz="4" w:space="0" w:color="auto"/>
              <w:right w:val="single" w:sz="4" w:space="0" w:color="auto"/>
            </w:tcBorders>
            <w:shd w:val="clear" w:color="auto" w:fill="auto"/>
            <w:hideMark/>
          </w:tcPr>
          <w:p w14:paraId="41D943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42B6D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A566C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94256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Amplify Reach:</w:t>
            </w:r>
          </w:p>
        </w:tc>
        <w:tc>
          <w:tcPr>
            <w:tcW w:w="6762" w:type="dxa"/>
            <w:tcBorders>
              <w:top w:val="nil"/>
              <w:left w:val="nil"/>
              <w:bottom w:val="single" w:sz="4" w:space="0" w:color="auto"/>
              <w:right w:val="single" w:sz="4" w:space="0" w:color="auto"/>
            </w:tcBorders>
            <w:shd w:val="clear" w:color="auto" w:fill="auto"/>
            <w:hideMark/>
          </w:tcPr>
          <w:p w14:paraId="7E6ACFB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2B01C8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13949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F6E1DF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816DB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Social Media Promotion: </w:t>
            </w:r>
          </w:p>
        </w:tc>
        <w:tc>
          <w:tcPr>
            <w:tcW w:w="6762" w:type="dxa"/>
            <w:tcBorders>
              <w:top w:val="nil"/>
              <w:left w:val="nil"/>
              <w:bottom w:val="single" w:sz="4" w:space="0" w:color="auto"/>
              <w:right w:val="single" w:sz="4" w:space="0" w:color="auto"/>
            </w:tcBorders>
            <w:shd w:val="clear" w:color="auto" w:fill="auto"/>
            <w:hideMark/>
          </w:tcPr>
          <w:p w14:paraId="365AFA8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Share the press release across social media platforms to amplify its reach and engage with followers, encouraging them to share and spread the word.</w:t>
            </w:r>
          </w:p>
        </w:tc>
        <w:tc>
          <w:tcPr>
            <w:tcW w:w="2566" w:type="dxa"/>
            <w:tcBorders>
              <w:top w:val="nil"/>
              <w:left w:val="nil"/>
              <w:bottom w:val="single" w:sz="4" w:space="0" w:color="auto"/>
              <w:right w:val="single" w:sz="4" w:space="0" w:color="auto"/>
            </w:tcBorders>
            <w:shd w:val="clear" w:color="auto" w:fill="auto"/>
            <w:hideMark/>
          </w:tcPr>
          <w:p w14:paraId="5B498F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115D3F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A3761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B0019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Community Engagement: </w:t>
            </w:r>
          </w:p>
        </w:tc>
        <w:tc>
          <w:tcPr>
            <w:tcW w:w="6762" w:type="dxa"/>
            <w:tcBorders>
              <w:top w:val="nil"/>
              <w:left w:val="nil"/>
              <w:bottom w:val="single" w:sz="4" w:space="0" w:color="auto"/>
              <w:right w:val="single" w:sz="4" w:space="0" w:color="auto"/>
            </w:tcBorders>
            <w:shd w:val="clear" w:color="auto" w:fill="auto"/>
            <w:hideMark/>
          </w:tcPr>
          <w:p w14:paraId="3039CB1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Engage with online communities, forums, and discussion groups relevant to the project's subject matter, sharing the press release and inviting feedback and discussion.</w:t>
            </w:r>
          </w:p>
        </w:tc>
        <w:tc>
          <w:tcPr>
            <w:tcW w:w="2566" w:type="dxa"/>
            <w:tcBorders>
              <w:top w:val="nil"/>
              <w:left w:val="nil"/>
              <w:bottom w:val="single" w:sz="4" w:space="0" w:color="auto"/>
              <w:right w:val="single" w:sz="4" w:space="0" w:color="auto"/>
            </w:tcBorders>
            <w:shd w:val="clear" w:color="auto" w:fill="auto"/>
            <w:hideMark/>
          </w:tcPr>
          <w:p w14:paraId="3431AF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3E9BB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D72E00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08AF0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6. Monitor and Measure:</w:t>
            </w:r>
          </w:p>
        </w:tc>
        <w:tc>
          <w:tcPr>
            <w:tcW w:w="6762" w:type="dxa"/>
            <w:tcBorders>
              <w:top w:val="nil"/>
              <w:left w:val="nil"/>
              <w:bottom w:val="single" w:sz="4" w:space="0" w:color="auto"/>
              <w:right w:val="single" w:sz="4" w:space="0" w:color="auto"/>
            </w:tcBorders>
            <w:shd w:val="clear" w:color="auto" w:fill="auto"/>
            <w:hideMark/>
          </w:tcPr>
          <w:p w14:paraId="472F749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2987E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F813D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FE7876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43654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Track Engagement: </w:t>
            </w:r>
          </w:p>
        </w:tc>
        <w:tc>
          <w:tcPr>
            <w:tcW w:w="6762" w:type="dxa"/>
            <w:tcBorders>
              <w:top w:val="nil"/>
              <w:left w:val="nil"/>
              <w:bottom w:val="single" w:sz="4" w:space="0" w:color="auto"/>
              <w:right w:val="single" w:sz="4" w:space="0" w:color="auto"/>
            </w:tcBorders>
            <w:shd w:val="clear" w:color="auto" w:fill="auto"/>
            <w:hideMark/>
          </w:tcPr>
          <w:p w14:paraId="7491E26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 the performance of the press release, tracking metrics such as views, clicks, shares, and media coverage.</w:t>
            </w:r>
          </w:p>
        </w:tc>
        <w:tc>
          <w:tcPr>
            <w:tcW w:w="2566" w:type="dxa"/>
            <w:tcBorders>
              <w:top w:val="nil"/>
              <w:left w:val="nil"/>
              <w:bottom w:val="single" w:sz="4" w:space="0" w:color="auto"/>
              <w:right w:val="single" w:sz="4" w:space="0" w:color="auto"/>
            </w:tcBorders>
            <w:shd w:val="clear" w:color="auto" w:fill="auto"/>
            <w:hideMark/>
          </w:tcPr>
          <w:p w14:paraId="1BA6B84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CF260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91E2B1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67371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Feedback Loop: </w:t>
            </w:r>
          </w:p>
        </w:tc>
        <w:tc>
          <w:tcPr>
            <w:tcW w:w="6762" w:type="dxa"/>
            <w:tcBorders>
              <w:top w:val="nil"/>
              <w:left w:val="nil"/>
              <w:bottom w:val="single" w:sz="4" w:space="0" w:color="auto"/>
              <w:right w:val="single" w:sz="4" w:space="0" w:color="auto"/>
            </w:tcBorders>
            <w:shd w:val="clear" w:color="auto" w:fill="auto"/>
            <w:hideMark/>
          </w:tcPr>
          <w:p w14:paraId="33B865D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Gather feedback from media contacts and stakeholders to iterate and improve future press releases and outreach strategies.</w:t>
            </w:r>
          </w:p>
        </w:tc>
        <w:tc>
          <w:tcPr>
            <w:tcW w:w="2566" w:type="dxa"/>
            <w:tcBorders>
              <w:top w:val="nil"/>
              <w:left w:val="nil"/>
              <w:bottom w:val="single" w:sz="4" w:space="0" w:color="auto"/>
              <w:right w:val="single" w:sz="4" w:space="0" w:color="auto"/>
            </w:tcBorders>
            <w:shd w:val="clear" w:color="auto" w:fill="auto"/>
            <w:hideMark/>
          </w:tcPr>
          <w:p w14:paraId="44269FD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EB99C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DF24DA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399F69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Steps:</w:t>
            </w:r>
          </w:p>
        </w:tc>
        <w:tc>
          <w:tcPr>
            <w:tcW w:w="6762" w:type="dxa"/>
            <w:tcBorders>
              <w:top w:val="nil"/>
              <w:left w:val="nil"/>
              <w:bottom w:val="single" w:sz="4" w:space="0" w:color="auto"/>
              <w:right w:val="single" w:sz="4" w:space="0" w:color="auto"/>
            </w:tcBorders>
            <w:shd w:val="clear" w:color="auto" w:fill="auto"/>
            <w:hideMark/>
          </w:tcPr>
          <w:p w14:paraId="34956FB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following these steps and guidelines, the crowdfunding campaign can effectively harness the power of press releases and media outreach to raise awareness, generate interest, and attract potential backers to support the project's success.</w:t>
            </w:r>
          </w:p>
        </w:tc>
        <w:tc>
          <w:tcPr>
            <w:tcW w:w="2566" w:type="dxa"/>
            <w:tcBorders>
              <w:top w:val="nil"/>
              <w:left w:val="nil"/>
              <w:bottom w:val="single" w:sz="4" w:space="0" w:color="auto"/>
              <w:right w:val="single" w:sz="4" w:space="0" w:color="auto"/>
            </w:tcBorders>
            <w:shd w:val="clear" w:color="auto" w:fill="auto"/>
            <w:hideMark/>
          </w:tcPr>
          <w:p w14:paraId="63EBCB8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5088B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4789B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DF32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Press Releases and Media Outreach:</w:t>
            </w:r>
          </w:p>
        </w:tc>
        <w:tc>
          <w:tcPr>
            <w:tcW w:w="6762" w:type="dxa"/>
            <w:tcBorders>
              <w:top w:val="nil"/>
              <w:left w:val="nil"/>
              <w:bottom w:val="single" w:sz="4" w:space="0" w:color="auto"/>
              <w:right w:val="single" w:sz="4" w:space="0" w:color="auto"/>
            </w:tcBorders>
            <w:shd w:val="clear" w:color="auto" w:fill="auto"/>
            <w:hideMark/>
          </w:tcPr>
          <w:p w14:paraId="5A9021D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Offer exclusive interviews, guest posts, or access to embargoed content to generate media interest and coverage.</w:t>
            </w:r>
          </w:p>
        </w:tc>
        <w:tc>
          <w:tcPr>
            <w:tcW w:w="2566" w:type="dxa"/>
            <w:tcBorders>
              <w:top w:val="nil"/>
              <w:left w:val="nil"/>
              <w:bottom w:val="single" w:sz="4" w:space="0" w:color="auto"/>
              <w:right w:val="single" w:sz="4" w:space="0" w:color="auto"/>
            </w:tcBorders>
            <w:shd w:val="clear" w:color="auto" w:fill="auto"/>
            <w:hideMark/>
          </w:tcPr>
          <w:p w14:paraId="6670393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194F11" w14:textId="77777777" w:rsidTr="0041317E">
        <w:trPr>
          <w:trHeight w:val="7488"/>
        </w:trPr>
        <w:tc>
          <w:tcPr>
            <w:tcW w:w="1349" w:type="dxa"/>
            <w:tcBorders>
              <w:top w:val="nil"/>
              <w:left w:val="single" w:sz="4" w:space="0" w:color="auto"/>
              <w:bottom w:val="single" w:sz="4" w:space="0" w:color="auto"/>
              <w:right w:val="single" w:sz="4" w:space="0" w:color="auto"/>
            </w:tcBorders>
            <w:shd w:val="clear" w:color="auto" w:fill="auto"/>
            <w:hideMark/>
          </w:tcPr>
          <w:p w14:paraId="7E9AA1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36CDB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Offering exclusive interviews, guest posts, or access to embargoed content can be powerful tactics to pique media interest and secure valuable coverage for the crowdfunding campaign. Here's an in-depth exploration of how to effectively leverage these strategies:</w:t>
            </w:r>
          </w:p>
        </w:tc>
        <w:tc>
          <w:tcPr>
            <w:tcW w:w="6762" w:type="dxa"/>
            <w:tcBorders>
              <w:top w:val="nil"/>
              <w:left w:val="nil"/>
              <w:bottom w:val="single" w:sz="4" w:space="0" w:color="auto"/>
              <w:right w:val="single" w:sz="4" w:space="0" w:color="auto"/>
            </w:tcBorders>
            <w:shd w:val="clear" w:color="auto" w:fill="auto"/>
            <w:hideMark/>
          </w:tcPr>
          <w:p w14:paraId="0A7DC80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70A9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4F2DE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4FB2B1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B040F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Exclusive Interviews:</w:t>
            </w:r>
          </w:p>
        </w:tc>
        <w:tc>
          <w:tcPr>
            <w:tcW w:w="6762" w:type="dxa"/>
            <w:tcBorders>
              <w:top w:val="nil"/>
              <w:left w:val="nil"/>
              <w:bottom w:val="single" w:sz="4" w:space="0" w:color="auto"/>
              <w:right w:val="single" w:sz="4" w:space="0" w:color="auto"/>
            </w:tcBorders>
            <w:shd w:val="clear" w:color="auto" w:fill="auto"/>
            <w:hideMark/>
          </w:tcPr>
          <w:p w14:paraId="3EB8D4A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3C359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4DA67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0A082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B99B4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Identify Target Media Outlets: </w:t>
            </w:r>
          </w:p>
        </w:tc>
        <w:tc>
          <w:tcPr>
            <w:tcW w:w="6762" w:type="dxa"/>
            <w:tcBorders>
              <w:top w:val="nil"/>
              <w:left w:val="nil"/>
              <w:bottom w:val="single" w:sz="4" w:space="0" w:color="auto"/>
              <w:right w:val="single" w:sz="4" w:space="0" w:color="auto"/>
            </w:tcBorders>
            <w:shd w:val="clear" w:color="auto" w:fill="auto"/>
            <w:hideMark/>
          </w:tcPr>
          <w:p w14:paraId="53876F7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Research and identify journalists, bloggers, podcasters, and media professionals who cover topics relevant to the project's subject matter, audience, and goals.</w:t>
            </w:r>
          </w:p>
        </w:tc>
        <w:tc>
          <w:tcPr>
            <w:tcW w:w="2566" w:type="dxa"/>
            <w:tcBorders>
              <w:top w:val="nil"/>
              <w:left w:val="nil"/>
              <w:bottom w:val="single" w:sz="4" w:space="0" w:color="auto"/>
              <w:right w:val="single" w:sz="4" w:space="0" w:color="auto"/>
            </w:tcBorders>
            <w:shd w:val="clear" w:color="auto" w:fill="auto"/>
            <w:hideMark/>
          </w:tcPr>
          <w:p w14:paraId="0DCB7B8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33C6C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7F893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3AA9C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Craft Compelling Pitches: </w:t>
            </w:r>
          </w:p>
        </w:tc>
        <w:tc>
          <w:tcPr>
            <w:tcW w:w="6762" w:type="dxa"/>
            <w:tcBorders>
              <w:top w:val="nil"/>
              <w:left w:val="nil"/>
              <w:bottom w:val="single" w:sz="4" w:space="0" w:color="auto"/>
              <w:right w:val="single" w:sz="4" w:space="0" w:color="auto"/>
            </w:tcBorders>
            <w:shd w:val="clear" w:color="auto" w:fill="auto"/>
            <w:hideMark/>
          </w:tcPr>
          <w:p w14:paraId="73904AA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Tailor personalized pitches to each media contact, highlighting the unique aspects and newsworthiness of the project. Emphasize why an exclusive interview would be valuable to their audience.</w:t>
            </w:r>
          </w:p>
        </w:tc>
        <w:tc>
          <w:tcPr>
            <w:tcW w:w="2566" w:type="dxa"/>
            <w:tcBorders>
              <w:top w:val="nil"/>
              <w:left w:val="nil"/>
              <w:bottom w:val="single" w:sz="4" w:space="0" w:color="auto"/>
              <w:right w:val="single" w:sz="4" w:space="0" w:color="auto"/>
            </w:tcBorders>
            <w:shd w:val="clear" w:color="auto" w:fill="auto"/>
            <w:hideMark/>
          </w:tcPr>
          <w:p w14:paraId="018DB3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43AA0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15C7C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29F42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Offer Expertise and Insights: </w:t>
            </w:r>
          </w:p>
        </w:tc>
        <w:tc>
          <w:tcPr>
            <w:tcW w:w="6762" w:type="dxa"/>
            <w:tcBorders>
              <w:top w:val="nil"/>
              <w:left w:val="nil"/>
              <w:bottom w:val="single" w:sz="4" w:space="0" w:color="auto"/>
              <w:right w:val="single" w:sz="4" w:space="0" w:color="auto"/>
            </w:tcBorders>
            <w:shd w:val="clear" w:color="auto" w:fill="auto"/>
            <w:hideMark/>
          </w:tcPr>
          <w:p w14:paraId="28875E3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Position project creators or key team members as experts in their field, offering to provide insights, analysis, or commentary on relevant industry trends, challenges, or advancements.</w:t>
            </w:r>
          </w:p>
        </w:tc>
        <w:tc>
          <w:tcPr>
            <w:tcW w:w="2566" w:type="dxa"/>
            <w:tcBorders>
              <w:top w:val="nil"/>
              <w:left w:val="nil"/>
              <w:bottom w:val="single" w:sz="4" w:space="0" w:color="auto"/>
              <w:right w:val="single" w:sz="4" w:space="0" w:color="auto"/>
            </w:tcBorders>
            <w:shd w:val="clear" w:color="auto" w:fill="auto"/>
            <w:hideMark/>
          </w:tcPr>
          <w:p w14:paraId="6C3668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B907C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DE6B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C4F2E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Facilitate Access: </w:t>
            </w:r>
          </w:p>
        </w:tc>
        <w:tc>
          <w:tcPr>
            <w:tcW w:w="6762" w:type="dxa"/>
            <w:tcBorders>
              <w:top w:val="nil"/>
              <w:left w:val="nil"/>
              <w:bottom w:val="single" w:sz="4" w:space="0" w:color="auto"/>
              <w:right w:val="single" w:sz="4" w:space="0" w:color="auto"/>
            </w:tcBorders>
            <w:shd w:val="clear" w:color="auto" w:fill="auto"/>
            <w:hideMark/>
          </w:tcPr>
          <w:p w14:paraId="15A674E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Coordinate logistics and scheduling to ensure a smooth and convenient interview experience for both parties. Provide flexibility and accommodate any special requests or preferences from the media outlet.</w:t>
            </w:r>
          </w:p>
        </w:tc>
        <w:tc>
          <w:tcPr>
            <w:tcW w:w="2566" w:type="dxa"/>
            <w:tcBorders>
              <w:top w:val="nil"/>
              <w:left w:val="nil"/>
              <w:bottom w:val="single" w:sz="4" w:space="0" w:color="auto"/>
              <w:right w:val="single" w:sz="4" w:space="0" w:color="auto"/>
            </w:tcBorders>
            <w:shd w:val="clear" w:color="auto" w:fill="auto"/>
            <w:hideMark/>
          </w:tcPr>
          <w:p w14:paraId="2DDFD9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DA987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86D637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8CDEC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Prepare Key Messages: </w:t>
            </w:r>
          </w:p>
        </w:tc>
        <w:tc>
          <w:tcPr>
            <w:tcW w:w="6762" w:type="dxa"/>
            <w:tcBorders>
              <w:top w:val="nil"/>
              <w:left w:val="nil"/>
              <w:bottom w:val="single" w:sz="4" w:space="0" w:color="auto"/>
              <w:right w:val="single" w:sz="4" w:space="0" w:color="auto"/>
            </w:tcBorders>
            <w:shd w:val="clear" w:color="auto" w:fill="auto"/>
            <w:hideMark/>
          </w:tcPr>
          <w:p w14:paraId="124AAA4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Equip interviewees with key talking points, anecdotes, and data to effectively communicate the project's value proposition, goals, and impact during the interview.</w:t>
            </w:r>
          </w:p>
        </w:tc>
        <w:tc>
          <w:tcPr>
            <w:tcW w:w="2566" w:type="dxa"/>
            <w:tcBorders>
              <w:top w:val="nil"/>
              <w:left w:val="nil"/>
              <w:bottom w:val="single" w:sz="4" w:space="0" w:color="auto"/>
              <w:right w:val="single" w:sz="4" w:space="0" w:color="auto"/>
            </w:tcBorders>
            <w:shd w:val="clear" w:color="auto" w:fill="auto"/>
            <w:hideMark/>
          </w:tcPr>
          <w:p w14:paraId="5573D5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093BE5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818A0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C18FE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Guest Posts:</w:t>
            </w:r>
          </w:p>
        </w:tc>
        <w:tc>
          <w:tcPr>
            <w:tcW w:w="6762" w:type="dxa"/>
            <w:tcBorders>
              <w:top w:val="nil"/>
              <w:left w:val="nil"/>
              <w:bottom w:val="single" w:sz="4" w:space="0" w:color="auto"/>
              <w:right w:val="single" w:sz="4" w:space="0" w:color="auto"/>
            </w:tcBorders>
            <w:shd w:val="clear" w:color="auto" w:fill="auto"/>
            <w:hideMark/>
          </w:tcPr>
          <w:p w14:paraId="13BA882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605337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CE6E8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EF9B0F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062D9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Identify Publishing Opportunities: </w:t>
            </w:r>
          </w:p>
        </w:tc>
        <w:tc>
          <w:tcPr>
            <w:tcW w:w="6762" w:type="dxa"/>
            <w:tcBorders>
              <w:top w:val="nil"/>
              <w:left w:val="nil"/>
              <w:bottom w:val="single" w:sz="4" w:space="0" w:color="auto"/>
              <w:right w:val="single" w:sz="4" w:space="0" w:color="auto"/>
            </w:tcBorders>
            <w:shd w:val="clear" w:color="auto" w:fill="auto"/>
            <w:hideMark/>
          </w:tcPr>
          <w:p w14:paraId="24101FD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Seek out online platforms, blogs, publications, and forums that accept guest contributions and cater to the project's target audience and niche interests.</w:t>
            </w:r>
          </w:p>
        </w:tc>
        <w:tc>
          <w:tcPr>
            <w:tcW w:w="2566" w:type="dxa"/>
            <w:tcBorders>
              <w:top w:val="nil"/>
              <w:left w:val="nil"/>
              <w:bottom w:val="single" w:sz="4" w:space="0" w:color="auto"/>
              <w:right w:val="single" w:sz="4" w:space="0" w:color="auto"/>
            </w:tcBorders>
            <w:shd w:val="clear" w:color="auto" w:fill="auto"/>
            <w:hideMark/>
          </w:tcPr>
          <w:p w14:paraId="19A1A1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C6C2E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273BC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037F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Pitch Tailored Content Ideas: </w:t>
            </w:r>
          </w:p>
        </w:tc>
        <w:tc>
          <w:tcPr>
            <w:tcW w:w="6762" w:type="dxa"/>
            <w:tcBorders>
              <w:top w:val="nil"/>
              <w:left w:val="nil"/>
              <w:bottom w:val="single" w:sz="4" w:space="0" w:color="auto"/>
              <w:right w:val="single" w:sz="4" w:space="0" w:color="auto"/>
            </w:tcBorders>
            <w:shd w:val="clear" w:color="auto" w:fill="auto"/>
            <w:hideMark/>
          </w:tcPr>
          <w:p w14:paraId="4A4F31B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compelling content ideas or article pitches that align with the publishing platform's audience, editorial guidelines, and theme. Emphasize the unique perspective or insights offered by the project.</w:t>
            </w:r>
          </w:p>
        </w:tc>
        <w:tc>
          <w:tcPr>
            <w:tcW w:w="2566" w:type="dxa"/>
            <w:tcBorders>
              <w:top w:val="nil"/>
              <w:left w:val="nil"/>
              <w:bottom w:val="single" w:sz="4" w:space="0" w:color="auto"/>
              <w:right w:val="single" w:sz="4" w:space="0" w:color="auto"/>
            </w:tcBorders>
            <w:shd w:val="clear" w:color="auto" w:fill="auto"/>
            <w:hideMark/>
          </w:tcPr>
          <w:p w14:paraId="5B33F18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D3336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E2F19F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03E5B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Provide High-Quality Content: </w:t>
            </w:r>
          </w:p>
        </w:tc>
        <w:tc>
          <w:tcPr>
            <w:tcW w:w="6762" w:type="dxa"/>
            <w:tcBorders>
              <w:top w:val="nil"/>
              <w:left w:val="nil"/>
              <w:bottom w:val="single" w:sz="4" w:space="0" w:color="auto"/>
              <w:right w:val="single" w:sz="4" w:space="0" w:color="auto"/>
            </w:tcBorders>
            <w:shd w:val="clear" w:color="auto" w:fill="auto"/>
            <w:hideMark/>
          </w:tcPr>
          <w:p w14:paraId="308F32F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Craft well-researched, informative, and engaging guest posts that add value to the publishing platform's readership. Incorporate multimedia elements, case studies, or examples to enhance the content's appeal.</w:t>
            </w:r>
          </w:p>
        </w:tc>
        <w:tc>
          <w:tcPr>
            <w:tcW w:w="2566" w:type="dxa"/>
            <w:tcBorders>
              <w:top w:val="nil"/>
              <w:left w:val="nil"/>
              <w:bottom w:val="single" w:sz="4" w:space="0" w:color="auto"/>
              <w:right w:val="single" w:sz="4" w:space="0" w:color="auto"/>
            </w:tcBorders>
            <w:shd w:val="clear" w:color="auto" w:fill="auto"/>
            <w:hideMark/>
          </w:tcPr>
          <w:p w14:paraId="00A2A65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CABC9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367BA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6D26A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Include Call-to-Action: </w:t>
            </w:r>
          </w:p>
        </w:tc>
        <w:tc>
          <w:tcPr>
            <w:tcW w:w="6762" w:type="dxa"/>
            <w:tcBorders>
              <w:top w:val="nil"/>
              <w:left w:val="nil"/>
              <w:bottom w:val="single" w:sz="4" w:space="0" w:color="auto"/>
              <w:right w:val="single" w:sz="4" w:space="0" w:color="auto"/>
            </w:tcBorders>
            <w:shd w:val="clear" w:color="auto" w:fill="auto"/>
            <w:hideMark/>
          </w:tcPr>
          <w:p w14:paraId="2F71275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a clear call-to-action within the guest post, inviting readers to learn more about the project, visit the crowdfunding campaign page, or engage with the project's community.</w:t>
            </w:r>
          </w:p>
        </w:tc>
        <w:tc>
          <w:tcPr>
            <w:tcW w:w="2566" w:type="dxa"/>
            <w:tcBorders>
              <w:top w:val="nil"/>
              <w:left w:val="nil"/>
              <w:bottom w:val="single" w:sz="4" w:space="0" w:color="auto"/>
              <w:right w:val="single" w:sz="4" w:space="0" w:color="auto"/>
            </w:tcBorders>
            <w:shd w:val="clear" w:color="auto" w:fill="auto"/>
            <w:hideMark/>
          </w:tcPr>
          <w:p w14:paraId="2300124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A84F54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0B18B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36130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Promote Across Channels: </w:t>
            </w:r>
          </w:p>
        </w:tc>
        <w:tc>
          <w:tcPr>
            <w:tcW w:w="6762" w:type="dxa"/>
            <w:tcBorders>
              <w:top w:val="nil"/>
              <w:left w:val="nil"/>
              <w:bottom w:val="single" w:sz="4" w:space="0" w:color="auto"/>
              <w:right w:val="single" w:sz="4" w:space="0" w:color="auto"/>
            </w:tcBorders>
            <w:shd w:val="clear" w:color="auto" w:fill="auto"/>
            <w:hideMark/>
          </w:tcPr>
          <w:p w14:paraId="53848B7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Share the published guest post across social media channels, email newsletters, and other communication channels to maximize its reach and impact.</w:t>
            </w:r>
          </w:p>
        </w:tc>
        <w:tc>
          <w:tcPr>
            <w:tcW w:w="2566" w:type="dxa"/>
            <w:tcBorders>
              <w:top w:val="nil"/>
              <w:left w:val="nil"/>
              <w:bottom w:val="single" w:sz="4" w:space="0" w:color="auto"/>
              <w:right w:val="single" w:sz="4" w:space="0" w:color="auto"/>
            </w:tcBorders>
            <w:shd w:val="clear" w:color="auto" w:fill="auto"/>
            <w:hideMark/>
          </w:tcPr>
          <w:p w14:paraId="1EE677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BD8F9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9C165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5A04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Access to Embargoed Content:</w:t>
            </w:r>
          </w:p>
        </w:tc>
        <w:tc>
          <w:tcPr>
            <w:tcW w:w="6762" w:type="dxa"/>
            <w:tcBorders>
              <w:top w:val="nil"/>
              <w:left w:val="nil"/>
              <w:bottom w:val="single" w:sz="4" w:space="0" w:color="auto"/>
              <w:right w:val="single" w:sz="4" w:space="0" w:color="auto"/>
            </w:tcBorders>
            <w:shd w:val="clear" w:color="auto" w:fill="auto"/>
            <w:hideMark/>
          </w:tcPr>
          <w:p w14:paraId="4758CA8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5E2BA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ACA93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23B741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E1927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1. Create Exclusive Previews: </w:t>
            </w:r>
          </w:p>
        </w:tc>
        <w:tc>
          <w:tcPr>
            <w:tcW w:w="6762" w:type="dxa"/>
            <w:tcBorders>
              <w:top w:val="nil"/>
              <w:left w:val="nil"/>
              <w:bottom w:val="single" w:sz="4" w:space="0" w:color="auto"/>
              <w:right w:val="single" w:sz="4" w:space="0" w:color="auto"/>
            </w:tcBorders>
            <w:shd w:val="clear" w:color="auto" w:fill="auto"/>
            <w:hideMark/>
          </w:tcPr>
          <w:p w14:paraId="61BBA4B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Develop embargoed content such as sneak peeks, behind-the-scenes footage, or early access to project updates or milestones.</w:t>
            </w:r>
          </w:p>
        </w:tc>
        <w:tc>
          <w:tcPr>
            <w:tcW w:w="2566" w:type="dxa"/>
            <w:tcBorders>
              <w:top w:val="nil"/>
              <w:left w:val="nil"/>
              <w:bottom w:val="single" w:sz="4" w:space="0" w:color="auto"/>
              <w:right w:val="single" w:sz="4" w:space="0" w:color="auto"/>
            </w:tcBorders>
            <w:shd w:val="clear" w:color="auto" w:fill="auto"/>
            <w:hideMark/>
          </w:tcPr>
          <w:p w14:paraId="76AB962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5594D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DE57D3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01DB6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2. Build Anticipation: </w:t>
            </w:r>
          </w:p>
        </w:tc>
        <w:tc>
          <w:tcPr>
            <w:tcW w:w="6762" w:type="dxa"/>
            <w:tcBorders>
              <w:top w:val="nil"/>
              <w:left w:val="nil"/>
              <w:bottom w:val="single" w:sz="4" w:space="0" w:color="auto"/>
              <w:right w:val="single" w:sz="4" w:space="0" w:color="auto"/>
            </w:tcBorders>
            <w:shd w:val="clear" w:color="auto" w:fill="auto"/>
            <w:hideMark/>
          </w:tcPr>
          <w:p w14:paraId="3A4B0D9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Offer select media contacts exclusive access to embargoed content ahead of the official release date, creating anticipation and buzz around the project.</w:t>
            </w:r>
          </w:p>
        </w:tc>
        <w:tc>
          <w:tcPr>
            <w:tcW w:w="2566" w:type="dxa"/>
            <w:tcBorders>
              <w:top w:val="nil"/>
              <w:left w:val="nil"/>
              <w:bottom w:val="single" w:sz="4" w:space="0" w:color="auto"/>
              <w:right w:val="single" w:sz="4" w:space="0" w:color="auto"/>
            </w:tcBorders>
            <w:shd w:val="clear" w:color="auto" w:fill="auto"/>
            <w:hideMark/>
          </w:tcPr>
          <w:p w14:paraId="6C55D1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0A117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53C155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0B492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3. Establish Terms and Conditions: </w:t>
            </w:r>
          </w:p>
        </w:tc>
        <w:tc>
          <w:tcPr>
            <w:tcW w:w="6762" w:type="dxa"/>
            <w:tcBorders>
              <w:top w:val="nil"/>
              <w:left w:val="nil"/>
              <w:bottom w:val="single" w:sz="4" w:space="0" w:color="auto"/>
              <w:right w:val="single" w:sz="4" w:space="0" w:color="auto"/>
            </w:tcBorders>
            <w:shd w:val="clear" w:color="auto" w:fill="auto"/>
            <w:hideMark/>
          </w:tcPr>
          <w:p w14:paraId="5503216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Clearly outline the terms and conditions of the embargo, including the embargo period, permitted use of the content, and any restrictions on distribution or sharing.</w:t>
            </w:r>
          </w:p>
        </w:tc>
        <w:tc>
          <w:tcPr>
            <w:tcW w:w="2566" w:type="dxa"/>
            <w:tcBorders>
              <w:top w:val="nil"/>
              <w:left w:val="nil"/>
              <w:bottom w:val="single" w:sz="4" w:space="0" w:color="auto"/>
              <w:right w:val="single" w:sz="4" w:space="0" w:color="auto"/>
            </w:tcBorders>
            <w:shd w:val="clear" w:color="auto" w:fill="auto"/>
            <w:hideMark/>
          </w:tcPr>
          <w:p w14:paraId="742484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44ED4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54BD8F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CF6F6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4. Provide Supporting Materials: </w:t>
            </w:r>
          </w:p>
        </w:tc>
        <w:tc>
          <w:tcPr>
            <w:tcW w:w="6762" w:type="dxa"/>
            <w:tcBorders>
              <w:top w:val="nil"/>
              <w:left w:val="nil"/>
              <w:bottom w:val="single" w:sz="4" w:space="0" w:color="auto"/>
              <w:right w:val="single" w:sz="4" w:space="0" w:color="auto"/>
            </w:tcBorders>
            <w:shd w:val="clear" w:color="auto" w:fill="auto"/>
            <w:hideMark/>
          </w:tcPr>
          <w:p w14:paraId="25F2471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Accompany embargoed content with supplementary materials such as press releases, fact sheets, or high-resolution images to support media coverage and storytelling.</w:t>
            </w:r>
          </w:p>
        </w:tc>
        <w:tc>
          <w:tcPr>
            <w:tcW w:w="2566" w:type="dxa"/>
            <w:tcBorders>
              <w:top w:val="nil"/>
              <w:left w:val="nil"/>
              <w:bottom w:val="single" w:sz="4" w:space="0" w:color="auto"/>
              <w:right w:val="single" w:sz="4" w:space="0" w:color="auto"/>
            </w:tcBorders>
            <w:shd w:val="clear" w:color="auto" w:fill="auto"/>
            <w:hideMark/>
          </w:tcPr>
          <w:p w14:paraId="5A9E3A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5250E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64F91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57DE01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Follow-Up and Coordinate: </w:t>
            </w:r>
          </w:p>
        </w:tc>
        <w:tc>
          <w:tcPr>
            <w:tcW w:w="6762" w:type="dxa"/>
            <w:tcBorders>
              <w:top w:val="nil"/>
              <w:left w:val="nil"/>
              <w:bottom w:val="single" w:sz="4" w:space="0" w:color="auto"/>
              <w:right w:val="single" w:sz="4" w:space="0" w:color="auto"/>
            </w:tcBorders>
            <w:shd w:val="clear" w:color="auto" w:fill="auto"/>
            <w:hideMark/>
          </w:tcPr>
          <w:p w14:paraId="390AE72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Maintain open communication with media contacts throughout the embargo period, providing support, answering questions, and coordinating any additional requests or follow-up interviews.</w:t>
            </w:r>
          </w:p>
        </w:tc>
        <w:tc>
          <w:tcPr>
            <w:tcW w:w="2566" w:type="dxa"/>
            <w:tcBorders>
              <w:top w:val="nil"/>
              <w:left w:val="nil"/>
              <w:bottom w:val="single" w:sz="4" w:space="0" w:color="auto"/>
              <w:right w:val="single" w:sz="4" w:space="0" w:color="auto"/>
            </w:tcBorders>
            <w:shd w:val="clear" w:color="auto" w:fill="auto"/>
            <w:hideMark/>
          </w:tcPr>
          <w:p w14:paraId="7252AA0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9A985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8F6466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F85F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Strategy:</w:t>
            </w:r>
          </w:p>
        </w:tc>
        <w:tc>
          <w:tcPr>
            <w:tcW w:w="6762" w:type="dxa"/>
            <w:tcBorders>
              <w:top w:val="nil"/>
              <w:left w:val="nil"/>
              <w:bottom w:val="single" w:sz="4" w:space="0" w:color="auto"/>
              <w:right w:val="single" w:sz="4" w:space="0" w:color="auto"/>
            </w:tcBorders>
            <w:shd w:val="clear" w:color="auto" w:fill="auto"/>
            <w:hideMark/>
          </w:tcPr>
          <w:p w14:paraId="0584AD8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By strategically offering exclusive interviews, guest posts, or access to embargoed content, the crowdfunding campaign can effectively capture media attention, generate buzz, and secure valuable coverage to drive engagement and support from potential backers.</w:t>
            </w:r>
          </w:p>
        </w:tc>
        <w:tc>
          <w:tcPr>
            <w:tcW w:w="2566" w:type="dxa"/>
            <w:tcBorders>
              <w:top w:val="nil"/>
              <w:left w:val="nil"/>
              <w:bottom w:val="single" w:sz="4" w:space="0" w:color="auto"/>
              <w:right w:val="single" w:sz="4" w:space="0" w:color="auto"/>
            </w:tcBorders>
            <w:shd w:val="clear" w:color="auto" w:fill="auto"/>
            <w:hideMark/>
          </w:tcPr>
          <w:p w14:paraId="4E02419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3F4FD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0D235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4F638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A9295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 Monitor media coverage and engage with journalists and influencers to amplify the campaign's reach and impact.</w:t>
            </w:r>
          </w:p>
        </w:tc>
        <w:tc>
          <w:tcPr>
            <w:tcW w:w="2566" w:type="dxa"/>
            <w:tcBorders>
              <w:top w:val="nil"/>
              <w:left w:val="nil"/>
              <w:bottom w:val="single" w:sz="4" w:space="0" w:color="auto"/>
              <w:right w:val="single" w:sz="4" w:space="0" w:color="auto"/>
            </w:tcBorders>
            <w:shd w:val="clear" w:color="auto" w:fill="auto"/>
            <w:hideMark/>
          </w:tcPr>
          <w:p w14:paraId="77A515B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444CC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EE6F23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E67B7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11BAEF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Monitoring media coverage and engaging with journalists and influencers are essential components of a comprehensive communication strategy to amplify the campaign's reach and impact. Here's a detailed breakdown of how to effectively execute this tactic:</w:t>
            </w:r>
          </w:p>
        </w:tc>
        <w:tc>
          <w:tcPr>
            <w:tcW w:w="2566" w:type="dxa"/>
            <w:tcBorders>
              <w:top w:val="nil"/>
              <w:left w:val="nil"/>
              <w:bottom w:val="single" w:sz="4" w:space="0" w:color="auto"/>
              <w:right w:val="single" w:sz="4" w:space="0" w:color="auto"/>
            </w:tcBorders>
            <w:shd w:val="clear" w:color="auto" w:fill="auto"/>
            <w:hideMark/>
          </w:tcPr>
          <w:p w14:paraId="0E151E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6CB7F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42E6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9E40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Monitoring Media Coverage:</w:t>
            </w:r>
          </w:p>
        </w:tc>
        <w:tc>
          <w:tcPr>
            <w:tcW w:w="6762" w:type="dxa"/>
            <w:tcBorders>
              <w:top w:val="nil"/>
              <w:left w:val="nil"/>
              <w:bottom w:val="single" w:sz="4" w:space="0" w:color="auto"/>
              <w:right w:val="single" w:sz="4" w:space="0" w:color="auto"/>
            </w:tcBorders>
            <w:shd w:val="clear" w:color="auto" w:fill="auto"/>
            <w:hideMark/>
          </w:tcPr>
          <w:p w14:paraId="650E5DF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338C1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644B9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CDB406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425A9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Set Up Media Monitoring Tools: </w:t>
            </w:r>
          </w:p>
        </w:tc>
        <w:tc>
          <w:tcPr>
            <w:tcW w:w="6762" w:type="dxa"/>
            <w:tcBorders>
              <w:top w:val="nil"/>
              <w:left w:val="nil"/>
              <w:bottom w:val="single" w:sz="4" w:space="0" w:color="auto"/>
              <w:right w:val="single" w:sz="4" w:space="0" w:color="auto"/>
            </w:tcBorders>
            <w:shd w:val="clear" w:color="auto" w:fill="auto"/>
            <w:hideMark/>
          </w:tcPr>
          <w:p w14:paraId="2699AB3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media monitoring tools such as Google Alerts, Mention, or social media listening platforms to track mentions of the project, campaign, or related keywords across online and offline media channels.</w:t>
            </w:r>
          </w:p>
        </w:tc>
        <w:tc>
          <w:tcPr>
            <w:tcW w:w="2566" w:type="dxa"/>
            <w:tcBorders>
              <w:top w:val="nil"/>
              <w:left w:val="nil"/>
              <w:bottom w:val="single" w:sz="4" w:space="0" w:color="auto"/>
              <w:right w:val="single" w:sz="4" w:space="0" w:color="auto"/>
            </w:tcBorders>
            <w:shd w:val="clear" w:color="auto" w:fill="auto"/>
            <w:hideMark/>
          </w:tcPr>
          <w:p w14:paraId="704A59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C51C5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5B3CC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C38C5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Establish Tracking Metrics: </w:t>
            </w:r>
          </w:p>
        </w:tc>
        <w:tc>
          <w:tcPr>
            <w:tcW w:w="6762" w:type="dxa"/>
            <w:tcBorders>
              <w:top w:val="nil"/>
              <w:left w:val="nil"/>
              <w:bottom w:val="single" w:sz="4" w:space="0" w:color="auto"/>
              <w:right w:val="single" w:sz="4" w:space="0" w:color="auto"/>
            </w:tcBorders>
            <w:shd w:val="clear" w:color="auto" w:fill="auto"/>
            <w:hideMark/>
          </w:tcPr>
          <w:p w14:paraId="21EBB94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Define key performance indicators (KPIs) to measure the effectiveness of media coverage, such as the number of mentions, reach, sentiment analysis, and audience engagement metrics.</w:t>
            </w:r>
          </w:p>
        </w:tc>
        <w:tc>
          <w:tcPr>
            <w:tcW w:w="2566" w:type="dxa"/>
            <w:tcBorders>
              <w:top w:val="nil"/>
              <w:left w:val="nil"/>
              <w:bottom w:val="single" w:sz="4" w:space="0" w:color="auto"/>
              <w:right w:val="single" w:sz="4" w:space="0" w:color="auto"/>
            </w:tcBorders>
            <w:shd w:val="clear" w:color="auto" w:fill="auto"/>
            <w:hideMark/>
          </w:tcPr>
          <w:p w14:paraId="6B3094B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F6836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1DD584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905C6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Monitor in Real-Time: </w:t>
            </w:r>
          </w:p>
        </w:tc>
        <w:tc>
          <w:tcPr>
            <w:tcW w:w="6762" w:type="dxa"/>
            <w:tcBorders>
              <w:top w:val="nil"/>
              <w:left w:val="nil"/>
              <w:bottom w:val="single" w:sz="4" w:space="0" w:color="auto"/>
              <w:right w:val="single" w:sz="4" w:space="0" w:color="auto"/>
            </w:tcBorders>
            <w:shd w:val="clear" w:color="auto" w:fill="auto"/>
            <w:hideMark/>
          </w:tcPr>
          <w:p w14:paraId="3434E51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media coverage in real-time to stay informed about any news, articles, blog posts, social media discussions, or mentions related to the project or campaign.</w:t>
            </w:r>
          </w:p>
        </w:tc>
        <w:tc>
          <w:tcPr>
            <w:tcW w:w="2566" w:type="dxa"/>
            <w:tcBorders>
              <w:top w:val="nil"/>
              <w:left w:val="nil"/>
              <w:bottom w:val="single" w:sz="4" w:space="0" w:color="auto"/>
              <w:right w:val="single" w:sz="4" w:space="0" w:color="auto"/>
            </w:tcBorders>
            <w:shd w:val="clear" w:color="auto" w:fill="auto"/>
            <w:hideMark/>
          </w:tcPr>
          <w:p w14:paraId="6C461DE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CDC4C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1D02A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FCA06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4. Identify Opportunities: </w:t>
            </w:r>
          </w:p>
        </w:tc>
        <w:tc>
          <w:tcPr>
            <w:tcW w:w="6762" w:type="dxa"/>
            <w:tcBorders>
              <w:top w:val="nil"/>
              <w:left w:val="nil"/>
              <w:bottom w:val="single" w:sz="4" w:space="0" w:color="auto"/>
              <w:right w:val="single" w:sz="4" w:space="0" w:color="auto"/>
            </w:tcBorders>
            <w:shd w:val="clear" w:color="auto" w:fill="auto"/>
            <w:hideMark/>
          </w:tcPr>
          <w:p w14:paraId="61A19AE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Identify opportunities for proactive engagement or response, such as responding to media inquiries, correcting misinformation, or leveraging positive coverage for additional promotion.</w:t>
            </w:r>
          </w:p>
        </w:tc>
        <w:tc>
          <w:tcPr>
            <w:tcW w:w="2566" w:type="dxa"/>
            <w:tcBorders>
              <w:top w:val="nil"/>
              <w:left w:val="nil"/>
              <w:bottom w:val="single" w:sz="4" w:space="0" w:color="auto"/>
              <w:right w:val="single" w:sz="4" w:space="0" w:color="auto"/>
            </w:tcBorders>
            <w:shd w:val="clear" w:color="auto" w:fill="auto"/>
            <w:hideMark/>
          </w:tcPr>
          <w:p w14:paraId="0FC07ED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62517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F040B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38E55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5. Compile Media Mentions: </w:t>
            </w:r>
          </w:p>
        </w:tc>
        <w:tc>
          <w:tcPr>
            <w:tcW w:w="6762" w:type="dxa"/>
            <w:tcBorders>
              <w:top w:val="nil"/>
              <w:left w:val="nil"/>
              <w:bottom w:val="single" w:sz="4" w:space="0" w:color="auto"/>
              <w:right w:val="single" w:sz="4" w:space="0" w:color="auto"/>
            </w:tcBorders>
            <w:shd w:val="clear" w:color="auto" w:fill="auto"/>
            <w:hideMark/>
          </w:tcPr>
          <w:p w14:paraId="76C41AD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Compile a comprehensive database or spreadsheet of media mentions, categorizing them by publication, date, author, sentiment, and any relevant insights or actions taken.</w:t>
            </w:r>
          </w:p>
        </w:tc>
        <w:tc>
          <w:tcPr>
            <w:tcW w:w="2566" w:type="dxa"/>
            <w:tcBorders>
              <w:top w:val="nil"/>
              <w:left w:val="nil"/>
              <w:bottom w:val="single" w:sz="4" w:space="0" w:color="auto"/>
              <w:right w:val="single" w:sz="4" w:space="0" w:color="auto"/>
            </w:tcBorders>
            <w:shd w:val="clear" w:color="auto" w:fill="auto"/>
            <w:hideMark/>
          </w:tcPr>
          <w:p w14:paraId="5C46A6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AF917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FDCD7E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540BF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Engaging with Journalists and Influencers:</w:t>
            </w:r>
          </w:p>
        </w:tc>
        <w:tc>
          <w:tcPr>
            <w:tcW w:w="6762" w:type="dxa"/>
            <w:tcBorders>
              <w:top w:val="nil"/>
              <w:left w:val="nil"/>
              <w:bottom w:val="single" w:sz="4" w:space="0" w:color="auto"/>
              <w:right w:val="single" w:sz="4" w:space="0" w:color="auto"/>
            </w:tcBorders>
            <w:shd w:val="clear" w:color="auto" w:fill="auto"/>
            <w:hideMark/>
          </w:tcPr>
          <w:p w14:paraId="515CDCE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93444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45D40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86C60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B5E8F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Cultivate Relationships: </w:t>
            </w:r>
          </w:p>
        </w:tc>
        <w:tc>
          <w:tcPr>
            <w:tcW w:w="6762" w:type="dxa"/>
            <w:tcBorders>
              <w:top w:val="nil"/>
              <w:left w:val="nil"/>
              <w:bottom w:val="single" w:sz="4" w:space="0" w:color="auto"/>
              <w:right w:val="single" w:sz="4" w:space="0" w:color="auto"/>
            </w:tcBorders>
            <w:shd w:val="clear" w:color="auto" w:fill="auto"/>
            <w:hideMark/>
          </w:tcPr>
          <w:p w14:paraId="7DB74A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Build and nurture relationships with journalists, bloggers, podcasters, and influencers covering topics relevant to the project's niche, industry, or target audience.</w:t>
            </w:r>
          </w:p>
        </w:tc>
        <w:tc>
          <w:tcPr>
            <w:tcW w:w="2566" w:type="dxa"/>
            <w:tcBorders>
              <w:top w:val="nil"/>
              <w:left w:val="nil"/>
              <w:bottom w:val="single" w:sz="4" w:space="0" w:color="auto"/>
              <w:right w:val="single" w:sz="4" w:space="0" w:color="auto"/>
            </w:tcBorders>
            <w:shd w:val="clear" w:color="auto" w:fill="auto"/>
            <w:hideMark/>
          </w:tcPr>
          <w:p w14:paraId="7BC0A3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ADA27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9E50C8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1D8E8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Personalized Outreach: </w:t>
            </w:r>
          </w:p>
        </w:tc>
        <w:tc>
          <w:tcPr>
            <w:tcW w:w="6762" w:type="dxa"/>
            <w:tcBorders>
              <w:top w:val="nil"/>
              <w:left w:val="nil"/>
              <w:bottom w:val="single" w:sz="4" w:space="0" w:color="auto"/>
              <w:right w:val="single" w:sz="4" w:space="0" w:color="auto"/>
            </w:tcBorders>
            <w:shd w:val="clear" w:color="auto" w:fill="auto"/>
            <w:hideMark/>
          </w:tcPr>
          <w:p w14:paraId="1FF1867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Reach out to journalists and influencers with personalized pitches, story ideas, or updates tailored to their interests, beat, or audience demographics.</w:t>
            </w:r>
          </w:p>
        </w:tc>
        <w:tc>
          <w:tcPr>
            <w:tcW w:w="2566" w:type="dxa"/>
            <w:tcBorders>
              <w:top w:val="nil"/>
              <w:left w:val="nil"/>
              <w:bottom w:val="single" w:sz="4" w:space="0" w:color="auto"/>
              <w:right w:val="single" w:sz="4" w:space="0" w:color="auto"/>
            </w:tcBorders>
            <w:shd w:val="clear" w:color="auto" w:fill="auto"/>
            <w:hideMark/>
          </w:tcPr>
          <w:p w14:paraId="0FC070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5EE3B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43E57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B9DE4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Provide Value: </w:t>
            </w:r>
          </w:p>
        </w:tc>
        <w:tc>
          <w:tcPr>
            <w:tcW w:w="6762" w:type="dxa"/>
            <w:tcBorders>
              <w:top w:val="nil"/>
              <w:left w:val="nil"/>
              <w:bottom w:val="single" w:sz="4" w:space="0" w:color="auto"/>
              <w:right w:val="single" w:sz="4" w:space="0" w:color="auto"/>
            </w:tcBorders>
            <w:shd w:val="clear" w:color="auto" w:fill="auto"/>
            <w:hideMark/>
          </w:tcPr>
          <w:p w14:paraId="739249F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Offer journalists and influencers valuable resources, insights, or access to exclusive content, interviews, or expert commentary to incentivize coverage or collaboration.</w:t>
            </w:r>
          </w:p>
        </w:tc>
        <w:tc>
          <w:tcPr>
            <w:tcW w:w="2566" w:type="dxa"/>
            <w:tcBorders>
              <w:top w:val="nil"/>
              <w:left w:val="nil"/>
              <w:bottom w:val="single" w:sz="4" w:space="0" w:color="auto"/>
              <w:right w:val="single" w:sz="4" w:space="0" w:color="auto"/>
            </w:tcBorders>
            <w:shd w:val="clear" w:color="auto" w:fill="auto"/>
            <w:hideMark/>
          </w:tcPr>
          <w:p w14:paraId="4E2BD3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D002B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D53D9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DDF92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4. Facilitate Access: </w:t>
            </w:r>
          </w:p>
        </w:tc>
        <w:tc>
          <w:tcPr>
            <w:tcW w:w="6762" w:type="dxa"/>
            <w:tcBorders>
              <w:top w:val="nil"/>
              <w:left w:val="nil"/>
              <w:bottom w:val="single" w:sz="4" w:space="0" w:color="auto"/>
              <w:right w:val="single" w:sz="4" w:space="0" w:color="auto"/>
            </w:tcBorders>
            <w:shd w:val="clear" w:color="auto" w:fill="auto"/>
            <w:hideMark/>
          </w:tcPr>
          <w:p w14:paraId="32AC39E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Make it easy for journalists and influencers to access relevant information, media assets, or spokespersons for interviews, fact-checking, or additional inquiries.</w:t>
            </w:r>
          </w:p>
        </w:tc>
        <w:tc>
          <w:tcPr>
            <w:tcW w:w="2566" w:type="dxa"/>
            <w:tcBorders>
              <w:top w:val="nil"/>
              <w:left w:val="nil"/>
              <w:bottom w:val="single" w:sz="4" w:space="0" w:color="auto"/>
              <w:right w:val="single" w:sz="4" w:space="0" w:color="auto"/>
            </w:tcBorders>
            <w:shd w:val="clear" w:color="auto" w:fill="auto"/>
            <w:hideMark/>
          </w:tcPr>
          <w:p w14:paraId="14354CC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FD798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60490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153D5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5. Express Gratitude: </w:t>
            </w:r>
          </w:p>
        </w:tc>
        <w:tc>
          <w:tcPr>
            <w:tcW w:w="6762" w:type="dxa"/>
            <w:tcBorders>
              <w:top w:val="nil"/>
              <w:left w:val="nil"/>
              <w:bottom w:val="single" w:sz="4" w:space="0" w:color="auto"/>
              <w:right w:val="single" w:sz="4" w:space="0" w:color="auto"/>
            </w:tcBorders>
            <w:shd w:val="clear" w:color="auto" w:fill="auto"/>
            <w:hideMark/>
          </w:tcPr>
          <w:p w14:paraId="31DE4D2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Express gratitude for any coverage or mentions received, whether positive or constructive, and acknowledge the contributions of journalists and influencers in amplifying the campaign's message and impact.</w:t>
            </w:r>
          </w:p>
        </w:tc>
        <w:tc>
          <w:tcPr>
            <w:tcW w:w="2566" w:type="dxa"/>
            <w:tcBorders>
              <w:top w:val="nil"/>
              <w:left w:val="nil"/>
              <w:bottom w:val="single" w:sz="4" w:space="0" w:color="auto"/>
              <w:right w:val="single" w:sz="4" w:space="0" w:color="auto"/>
            </w:tcBorders>
            <w:shd w:val="clear" w:color="auto" w:fill="auto"/>
            <w:hideMark/>
          </w:tcPr>
          <w:p w14:paraId="3842AD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11F00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72BB42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AB88C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Amplifying Reach and Impact:</w:t>
            </w:r>
          </w:p>
        </w:tc>
        <w:tc>
          <w:tcPr>
            <w:tcW w:w="6762" w:type="dxa"/>
            <w:tcBorders>
              <w:top w:val="nil"/>
              <w:left w:val="nil"/>
              <w:bottom w:val="single" w:sz="4" w:space="0" w:color="auto"/>
              <w:right w:val="single" w:sz="4" w:space="0" w:color="auto"/>
            </w:tcBorders>
            <w:shd w:val="clear" w:color="auto" w:fill="auto"/>
            <w:hideMark/>
          </w:tcPr>
          <w:p w14:paraId="39ABD64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47FF1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02DE2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C31C1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D5D1E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Share and Amplify Coverage: </w:t>
            </w:r>
          </w:p>
        </w:tc>
        <w:tc>
          <w:tcPr>
            <w:tcW w:w="6762" w:type="dxa"/>
            <w:tcBorders>
              <w:top w:val="nil"/>
              <w:left w:val="nil"/>
              <w:bottom w:val="single" w:sz="4" w:space="0" w:color="auto"/>
              <w:right w:val="single" w:sz="4" w:space="0" w:color="auto"/>
            </w:tcBorders>
            <w:shd w:val="clear" w:color="auto" w:fill="auto"/>
            <w:hideMark/>
          </w:tcPr>
          <w:p w14:paraId="04E369D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Share positive media coverage across social media channels, email newsletters, and the campaign website to amplify reach and credibility. Tag journalists and publications to acknowledge their contributions and encourage further engagement.</w:t>
            </w:r>
          </w:p>
        </w:tc>
        <w:tc>
          <w:tcPr>
            <w:tcW w:w="2566" w:type="dxa"/>
            <w:tcBorders>
              <w:top w:val="nil"/>
              <w:left w:val="nil"/>
              <w:bottom w:val="single" w:sz="4" w:space="0" w:color="auto"/>
              <w:right w:val="single" w:sz="4" w:space="0" w:color="auto"/>
            </w:tcBorders>
            <w:shd w:val="clear" w:color="auto" w:fill="auto"/>
            <w:hideMark/>
          </w:tcPr>
          <w:p w14:paraId="235EF5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046F9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210AFB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31F8D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Encourage User-Generated Content: </w:t>
            </w:r>
          </w:p>
        </w:tc>
        <w:tc>
          <w:tcPr>
            <w:tcW w:w="6762" w:type="dxa"/>
            <w:tcBorders>
              <w:top w:val="nil"/>
              <w:left w:val="nil"/>
              <w:bottom w:val="single" w:sz="4" w:space="0" w:color="auto"/>
              <w:right w:val="single" w:sz="4" w:space="0" w:color="auto"/>
            </w:tcBorders>
            <w:shd w:val="clear" w:color="auto" w:fill="auto"/>
            <w:hideMark/>
          </w:tcPr>
          <w:p w14:paraId="39251A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backers and supporters to share their experiences, testimonials, or endorsements related to the project or campaign, creating user-generated content that can be leveraged for additional promotion.</w:t>
            </w:r>
          </w:p>
        </w:tc>
        <w:tc>
          <w:tcPr>
            <w:tcW w:w="2566" w:type="dxa"/>
            <w:tcBorders>
              <w:top w:val="nil"/>
              <w:left w:val="nil"/>
              <w:bottom w:val="single" w:sz="4" w:space="0" w:color="auto"/>
              <w:right w:val="single" w:sz="4" w:space="0" w:color="auto"/>
            </w:tcBorders>
            <w:shd w:val="clear" w:color="auto" w:fill="auto"/>
            <w:hideMark/>
          </w:tcPr>
          <w:p w14:paraId="5F63DC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0989E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38E6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02658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Monitor Social Media Discussions: </w:t>
            </w:r>
          </w:p>
        </w:tc>
        <w:tc>
          <w:tcPr>
            <w:tcW w:w="6762" w:type="dxa"/>
            <w:tcBorders>
              <w:top w:val="nil"/>
              <w:left w:val="nil"/>
              <w:bottom w:val="single" w:sz="4" w:space="0" w:color="auto"/>
              <w:right w:val="single" w:sz="4" w:space="0" w:color="auto"/>
            </w:tcBorders>
            <w:shd w:val="clear" w:color="auto" w:fill="auto"/>
            <w:hideMark/>
          </w:tcPr>
          <w:p w14:paraId="66FDE24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social media discussions and engagement around media coverage, responding to comments, questions, or feedback from users to foster dialogue and community engagement.</w:t>
            </w:r>
          </w:p>
        </w:tc>
        <w:tc>
          <w:tcPr>
            <w:tcW w:w="2566" w:type="dxa"/>
            <w:tcBorders>
              <w:top w:val="nil"/>
              <w:left w:val="nil"/>
              <w:bottom w:val="single" w:sz="4" w:space="0" w:color="auto"/>
              <w:right w:val="single" w:sz="4" w:space="0" w:color="auto"/>
            </w:tcBorders>
            <w:shd w:val="clear" w:color="auto" w:fill="auto"/>
            <w:hideMark/>
          </w:tcPr>
          <w:p w14:paraId="34DEAFC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0A08A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EFB65D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7FA30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4. Measure Impact: </w:t>
            </w:r>
          </w:p>
        </w:tc>
        <w:tc>
          <w:tcPr>
            <w:tcW w:w="6762" w:type="dxa"/>
            <w:tcBorders>
              <w:top w:val="nil"/>
              <w:left w:val="nil"/>
              <w:bottom w:val="single" w:sz="4" w:space="0" w:color="auto"/>
              <w:right w:val="single" w:sz="4" w:space="0" w:color="auto"/>
            </w:tcBorders>
            <w:shd w:val="clear" w:color="auto" w:fill="auto"/>
            <w:hideMark/>
          </w:tcPr>
          <w:p w14:paraId="249F2CC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Continuously evaluate the impact of media coverage on campaign visibility, traffic, engagement, and conversions, adjusting strategies and tactics as needed to optimize results and maximize ROI.</w:t>
            </w:r>
          </w:p>
        </w:tc>
        <w:tc>
          <w:tcPr>
            <w:tcW w:w="2566" w:type="dxa"/>
            <w:tcBorders>
              <w:top w:val="nil"/>
              <w:left w:val="nil"/>
              <w:bottom w:val="single" w:sz="4" w:space="0" w:color="auto"/>
              <w:right w:val="single" w:sz="4" w:space="0" w:color="auto"/>
            </w:tcBorders>
            <w:shd w:val="clear" w:color="auto" w:fill="auto"/>
            <w:hideMark/>
          </w:tcPr>
          <w:p w14:paraId="098575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66DFB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BFB86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702C6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5. Iterate and Improve: </w:t>
            </w:r>
          </w:p>
        </w:tc>
        <w:tc>
          <w:tcPr>
            <w:tcW w:w="6762" w:type="dxa"/>
            <w:tcBorders>
              <w:top w:val="nil"/>
              <w:left w:val="nil"/>
              <w:bottom w:val="single" w:sz="4" w:space="0" w:color="auto"/>
              <w:right w:val="single" w:sz="4" w:space="0" w:color="auto"/>
            </w:tcBorders>
            <w:shd w:val="clear" w:color="auto" w:fill="auto"/>
            <w:hideMark/>
          </w:tcPr>
          <w:p w14:paraId="1964976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Learn from media outreach efforts and media coverage, iterating on messaging, targeting, and engagement strategies to improve effectiveness and achieve campaign objectives.</w:t>
            </w:r>
          </w:p>
        </w:tc>
        <w:tc>
          <w:tcPr>
            <w:tcW w:w="2566" w:type="dxa"/>
            <w:tcBorders>
              <w:top w:val="nil"/>
              <w:left w:val="nil"/>
              <w:bottom w:val="single" w:sz="4" w:space="0" w:color="auto"/>
              <w:right w:val="single" w:sz="4" w:space="0" w:color="auto"/>
            </w:tcBorders>
            <w:shd w:val="clear" w:color="auto" w:fill="auto"/>
            <w:hideMark/>
          </w:tcPr>
          <w:p w14:paraId="431038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BA4DB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5A1EE0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34C43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Proactivity: </w:t>
            </w:r>
          </w:p>
        </w:tc>
        <w:tc>
          <w:tcPr>
            <w:tcW w:w="6762" w:type="dxa"/>
            <w:tcBorders>
              <w:top w:val="nil"/>
              <w:left w:val="nil"/>
              <w:bottom w:val="single" w:sz="4" w:space="0" w:color="auto"/>
              <w:right w:val="single" w:sz="4" w:space="0" w:color="auto"/>
            </w:tcBorders>
            <w:shd w:val="clear" w:color="auto" w:fill="auto"/>
            <w:hideMark/>
          </w:tcPr>
          <w:p w14:paraId="5357D3E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proactively monitoring media coverage, engaging with journalists and influencers, and amplifying positive coverage, the campaign can effectively extend its reach, enhance credibility, and drive engagement and support from potential backers.</w:t>
            </w:r>
          </w:p>
        </w:tc>
        <w:tc>
          <w:tcPr>
            <w:tcW w:w="2566" w:type="dxa"/>
            <w:tcBorders>
              <w:top w:val="nil"/>
              <w:left w:val="nil"/>
              <w:bottom w:val="single" w:sz="4" w:space="0" w:color="auto"/>
              <w:right w:val="single" w:sz="4" w:space="0" w:color="auto"/>
            </w:tcBorders>
            <w:shd w:val="clear" w:color="auto" w:fill="auto"/>
            <w:hideMark/>
          </w:tcPr>
          <w:p w14:paraId="6B6A57E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3C460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B43825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EC84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Project Updates:</w:t>
            </w:r>
          </w:p>
        </w:tc>
        <w:tc>
          <w:tcPr>
            <w:tcW w:w="6762" w:type="dxa"/>
            <w:tcBorders>
              <w:top w:val="nil"/>
              <w:left w:val="nil"/>
              <w:bottom w:val="single" w:sz="4" w:space="0" w:color="auto"/>
              <w:right w:val="single" w:sz="4" w:space="0" w:color="auto"/>
            </w:tcBorders>
            <w:shd w:val="clear" w:color="auto" w:fill="auto"/>
            <w:hideMark/>
          </w:tcPr>
          <w:p w14:paraId="27A89E0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Provide regular updates on the project's progress, achievements, challenges, and milestones reached throughout the campaign.</w:t>
            </w:r>
          </w:p>
        </w:tc>
        <w:tc>
          <w:tcPr>
            <w:tcW w:w="2566" w:type="dxa"/>
            <w:tcBorders>
              <w:top w:val="nil"/>
              <w:left w:val="nil"/>
              <w:bottom w:val="single" w:sz="4" w:space="0" w:color="auto"/>
              <w:right w:val="single" w:sz="4" w:space="0" w:color="auto"/>
            </w:tcBorders>
            <w:shd w:val="clear" w:color="auto" w:fill="auto"/>
            <w:hideMark/>
          </w:tcPr>
          <w:p w14:paraId="0AC268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B388BC" w14:textId="77777777" w:rsidTr="0041317E">
        <w:trPr>
          <w:trHeight w:val="6552"/>
        </w:trPr>
        <w:tc>
          <w:tcPr>
            <w:tcW w:w="1349" w:type="dxa"/>
            <w:tcBorders>
              <w:top w:val="nil"/>
              <w:left w:val="single" w:sz="4" w:space="0" w:color="auto"/>
              <w:bottom w:val="single" w:sz="4" w:space="0" w:color="auto"/>
              <w:right w:val="single" w:sz="4" w:space="0" w:color="auto"/>
            </w:tcBorders>
            <w:shd w:val="clear" w:color="auto" w:fill="auto"/>
            <w:hideMark/>
          </w:tcPr>
          <w:p w14:paraId="2657A9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C1CD1B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Regular project updates are crucial for maintaining transparency, engaging backers, and building trust throughout the crowdfunding campaign. Here's an extensive breakdown of how to effectively provide project updates:</w:t>
            </w:r>
          </w:p>
        </w:tc>
        <w:tc>
          <w:tcPr>
            <w:tcW w:w="6762" w:type="dxa"/>
            <w:tcBorders>
              <w:top w:val="nil"/>
              <w:left w:val="nil"/>
              <w:bottom w:val="single" w:sz="4" w:space="0" w:color="auto"/>
              <w:right w:val="single" w:sz="4" w:space="0" w:color="auto"/>
            </w:tcBorders>
            <w:shd w:val="clear" w:color="auto" w:fill="auto"/>
            <w:hideMark/>
          </w:tcPr>
          <w:p w14:paraId="48A61D1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B5E8D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3912F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A913F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50560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Planning and Frequency:</w:t>
            </w:r>
          </w:p>
        </w:tc>
        <w:tc>
          <w:tcPr>
            <w:tcW w:w="6762" w:type="dxa"/>
            <w:tcBorders>
              <w:top w:val="nil"/>
              <w:left w:val="nil"/>
              <w:bottom w:val="single" w:sz="4" w:space="0" w:color="auto"/>
              <w:right w:val="single" w:sz="4" w:space="0" w:color="auto"/>
            </w:tcBorders>
            <w:shd w:val="clear" w:color="auto" w:fill="auto"/>
            <w:hideMark/>
          </w:tcPr>
          <w:p w14:paraId="620210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47BD6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62DEE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B99A1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C3DA8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Establish a Schedule: </w:t>
            </w:r>
          </w:p>
        </w:tc>
        <w:tc>
          <w:tcPr>
            <w:tcW w:w="6762" w:type="dxa"/>
            <w:tcBorders>
              <w:top w:val="nil"/>
              <w:left w:val="nil"/>
              <w:bottom w:val="single" w:sz="4" w:space="0" w:color="auto"/>
              <w:right w:val="single" w:sz="4" w:space="0" w:color="auto"/>
            </w:tcBorders>
            <w:shd w:val="clear" w:color="auto" w:fill="auto"/>
            <w:hideMark/>
          </w:tcPr>
          <w:p w14:paraId="07A2EAA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a structured timeline for sending out project updates, considering factors such as campaign duration, key milestones, and audience engagement preferences. Aim for consistency in frequency, whether it's weekly, bi-weekly, or monthly updates.</w:t>
            </w:r>
          </w:p>
        </w:tc>
        <w:tc>
          <w:tcPr>
            <w:tcW w:w="2566" w:type="dxa"/>
            <w:tcBorders>
              <w:top w:val="nil"/>
              <w:left w:val="nil"/>
              <w:bottom w:val="single" w:sz="4" w:space="0" w:color="auto"/>
              <w:right w:val="single" w:sz="4" w:space="0" w:color="auto"/>
            </w:tcBorders>
            <w:shd w:val="clear" w:color="auto" w:fill="auto"/>
            <w:hideMark/>
          </w:tcPr>
          <w:p w14:paraId="10109C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D4379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40E846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FA7BF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Align with Campaign Phases: </w:t>
            </w:r>
          </w:p>
        </w:tc>
        <w:tc>
          <w:tcPr>
            <w:tcW w:w="6762" w:type="dxa"/>
            <w:tcBorders>
              <w:top w:val="nil"/>
              <w:left w:val="nil"/>
              <w:bottom w:val="single" w:sz="4" w:space="0" w:color="auto"/>
              <w:right w:val="single" w:sz="4" w:space="0" w:color="auto"/>
            </w:tcBorders>
            <w:shd w:val="clear" w:color="auto" w:fill="auto"/>
            <w:hideMark/>
          </w:tcPr>
          <w:p w14:paraId="4372D26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Coordinate updates with key campaign phases, such as pre-launch, launch, mid-campaign, and post-campaign, to keep backers informed and engaged at each stage.</w:t>
            </w:r>
          </w:p>
        </w:tc>
        <w:tc>
          <w:tcPr>
            <w:tcW w:w="2566" w:type="dxa"/>
            <w:tcBorders>
              <w:top w:val="nil"/>
              <w:left w:val="nil"/>
              <w:bottom w:val="single" w:sz="4" w:space="0" w:color="auto"/>
              <w:right w:val="single" w:sz="4" w:space="0" w:color="auto"/>
            </w:tcBorders>
            <w:shd w:val="clear" w:color="auto" w:fill="auto"/>
            <w:hideMark/>
          </w:tcPr>
          <w:p w14:paraId="26FE96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CE0F7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B6607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37E3C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Tailor to Audience Preferences: </w:t>
            </w:r>
          </w:p>
        </w:tc>
        <w:tc>
          <w:tcPr>
            <w:tcW w:w="6762" w:type="dxa"/>
            <w:tcBorders>
              <w:top w:val="nil"/>
              <w:left w:val="nil"/>
              <w:bottom w:val="single" w:sz="4" w:space="0" w:color="auto"/>
              <w:right w:val="single" w:sz="4" w:space="0" w:color="auto"/>
            </w:tcBorders>
            <w:shd w:val="clear" w:color="auto" w:fill="auto"/>
            <w:hideMark/>
          </w:tcPr>
          <w:p w14:paraId="1F2AE4F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Survey backers to understand their preferences regarding update frequency, content format, and communication channels to ensure updates are relevant and well-received.</w:t>
            </w:r>
          </w:p>
        </w:tc>
        <w:tc>
          <w:tcPr>
            <w:tcW w:w="2566" w:type="dxa"/>
            <w:tcBorders>
              <w:top w:val="nil"/>
              <w:left w:val="nil"/>
              <w:bottom w:val="single" w:sz="4" w:space="0" w:color="auto"/>
              <w:right w:val="single" w:sz="4" w:space="0" w:color="auto"/>
            </w:tcBorders>
            <w:shd w:val="clear" w:color="auto" w:fill="auto"/>
            <w:hideMark/>
          </w:tcPr>
          <w:p w14:paraId="4B9EF2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CE859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B33CB9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16B37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Content and Format:</w:t>
            </w:r>
          </w:p>
        </w:tc>
        <w:tc>
          <w:tcPr>
            <w:tcW w:w="6762" w:type="dxa"/>
            <w:tcBorders>
              <w:top w:val="nil"/>
              <w:left w:val="nil"/>
              <w:bottom w:val="single" w:sz="4" w:space="0" w:color="auto"/>
              <w:right w:val="single" w:sz="4" w:space="0" w:color="auto"/>
            </w:tcBorders>
            <w:shd w:val="clear" w:color="auto" w:fill="auto"/>
            <w:hideMark/>
          </w:tcPr>
          <w:p w14:paraId="5AEF412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A46BF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43EAD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2E71DA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68C9C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Progress and Achievements: </w:t>
            </w:r>
          </w:p>
        </w:tc>
        <w:tc>
          <w:tcPr>
            <w:tcW w:w="6762" w:type="dxa"/>
            <w:tcBorders>
              <w:top w:val="nil"/>
              <w:left w:val="nil"/>
              <w:bottom w:val="single" w:sz="4" w:space="0" w:color="auto"/>
              <w:right w:val="single" w:sz="4" w:space="0" w:color="auto"/>
            </w:tcBorders>
            <w:shd w:val="clear" w:color="auto" w:fill="auto"/>
            <w:hideMark/>
          </w:tcPr>
          <w:p w14:paraId="3A11059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Highlight significant progress, achievements, and milestones reached since the last update, showcasing tangible outcomes or advancements in the project's development.</w:t>
            </w:r>
          </w:p>
        </w:tc>
        <w:tc>
          <w:tcPr>
            <w:tcW w:w="2566" w:type="dxa"/>
            <w:tcBorders>
              <w:top w:val="nil"/>
              <w:left w:val="nil"/>
              <w:bottom w:val="single" w:sz="4" w:space="0" w:color="auto"/>
              <w:right w:val="single" w:sz="4" w:space="0" w:color="auto"/>
            </w:tcBorders>
            <w:shd w:val="clear" w:color="auto" w:fill="auto"/>
            <w:hideMark/>
          </w:tcPr>
          <w:p w14:paraId="3A117F0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E4063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495212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24E5D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Challenges and Solutions: </w:t>
            </w:r>
          </w:p>
        </w:tc>
        <w:tc>
          <w:tcPr>
            <w:tcW w:w="6762" w:type="dxa"/>
            <w:tcBorders>
              <w:top w:val="nil"/>
              <w:left w:val="nil"/>
              <w:bottom w:val="single" w:sz="4" w:space="0" w:color="auto"/>
              <w:right w:val="single" w:sz="4" w:space="0" w:color="auto"/>
            </w:tcBorders>
            <w:shd w:val="clear" w:color="auto" w:fill="auto"/>
            <w:hideMark/>
          </w:tcPr>
          <w:p w14:paraId="4A91ACA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Address any challenges, setbacks, or obstacles encountered during the campaign, along with strategies, solutions, or adjustments made to overcome them.</w:t>
            </w:r>
          </w:p>
        </w:tc>
        <w:tc>
          <w:tcPr>
            <w:tcW w:w="2566" w:type="dxa"/>
            <w:tcBorders>
              <w:top w:val="nil"/>
              <w:left w:val="nil"/>
              <w:bottom w:val="single" w:sz="4" w:space="0" w:color="auto"/>
              <w:right w:val="single" w:sz="4" w:space="0" w:color="auto"/>
            </w:tcBorders>
            <w:shd w:val="clear" w:color="auto" w:fill="auto"/>
            <w:hideMark/>
          </w:tcPr>
          <w:p w14:paraId="5198D30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61B5B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CCF239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94B63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Visual Content: </w:t>
            </w:r>
          </w:p>
        </w:tc>
        <w:tc>
          <w:tcPr>
            <w:tcW w:w="6762" w:type="dxa"/>
            <w:tcBorders>
              <w:top w:val="nil"/>
              <w:left w:val="nil"/>
              <w:bottom w:val="single" w:sz="4" w:space="0" w:color="auto"/>
              <w:right w:val="single" w:sz="4" w:space="0" w:color="auto"/>
            </w:tcBorders>
            <w:shd w:val="clear" w:color="auto" w:fill="auto"/>
            <w:hideMark/>
          </w:tcPr>
          <w:p w14:paraId="711F207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Incorporate visual elements such as images, infographics, videos, or charts to enhance engagement and illustrate progress or updates effectively.</w:t>
            </w:r>
          </w:p>
        </w:tc>
        <w:tc>
          <w:tcPr>
            <w:tcW w:w="2566" w:type="dxa"/>
            <w:tcBorders>
              <w:top w:val="nil"/>
              <w:left w:val="nil"/>
              <w:bottom w:val="single" w:sz="4" w:space="0" w:color="auto"/>
              <w:right w:val="single" w:sz="4" w:space="0" w:color="auto"/>
            </w:tcBorders>
            <w:shd w:val="clear" w:color="auto" w:fill="auto"/>
            <w:hideMark/>
          </w:tcPr>
          <w:p w14:paraId="522D4FF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37A5C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285C2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86034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4. Personal Touch: </w:t>
            </w:r>
          </w:p>
        </w:tc>
        <w:tc>
          <w:tcPr>
            <w:tcW w:w="6762" w:type="dxa"/>
            <w:tcBorders>
              <w:top w:val="nil"/>
              <w:left w:val="nil"/>
              <w:bottom w:val="single" w:sz="4" w:space="0" w:color="auto"/>
              <w:right w:val="single" w:sz="4" w:space="0" w:color="auto"/>
            </w:tcBorders>
            <w:shd w:val="clear" w:color="auto" w:fill="auto"/>
            <w:hideMark/>
          </w:tcPr>
          <w:p w14:paraId="6038830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Infuse updates with a personal touch by sharing stories, anecdotes, or insights from the project team, demonstrating authenticity and fostering a sense of connection with backers.</w:t>
            </w:r>
          </w:p>
        </w:tc>
        <w:tc>
          <w:tcPr>
            <w:tcW w:w="2566" w:type="dxa"/>
            <w:tcBorders>
              <w:top w:val="nil"/>
              <w:left w:val="nil"/>
              <w:bottom w:val="single" w:sz="4" w:space="0" w:color="auto"/>
              <w:right w:val="single" w:sz="4" w:space="0" w:color="auto"/>
            </w:tcBorders>
            <w:shd w:val="clear" w:color="auto" w:fill="auto"/>
            <w:hideMark/>
          </w:tcPr>
          <w:p w14:paraId="73075AE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E5E87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DDF13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F2E10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5. Future Plans: </w:t>
            </w:r>
          </w:p>
        </w:tc>
        <w:tc>
          <w:tcPr>
            <w:tcW w:w="6762" w:type="dxa"/>
            <w:tcBorders>
              <w:top w:val="nil"/>
              <w:left w:val="nil"/>
              <w:bottom w:val="single" w:sz="4" w:space="0" w:color="auto"/>
              <w:right w:val="single" w:sz="4" w:space="0" w:color="auto"/>
            </w:tcBorders>
            <w:shd w:val="clear" w:color="auto" w:fill="auto"/>
            <w:hideMark/>
          </w:tcPr>
          <w:p w14:paraId="0DB0CFB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a glimpse into future plans, upcoming milestones, or goals for the project, giving backers a sense of direction and investment in its continued success.</w:t>
            </w:r>
          </w:p>
        </w:tc>
        <w:tc>
          <w:tcPr>
            <w:tcW w:w="2566" w:type="dxa"/>
            <w:tcBorders>
              <w:top w:val="nil"/>
              <w:left w:val="nil"/>
              <w:bottom w:val="single" w:sz="4" w:space="0" w:color="auto"/>
              <w:right w:val="single" w:sz="4" w:space="0" w:color="auto"/>
            </w:tcBorders>
            <w:shd w:val="clear" w:color="auto" w:fill="auto"/>
            <w:hideMark/>
          </w:tcPr>
          <w:p w14:paraId="531CB2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43E68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514131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2D4ED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Distribution and Channels:</w:t>
            </w:r>
          </w:p>
        </w:tc>
        <w:tc>
          <w:tcPr>
            <w:tcW w:w="6762" w:type="dxa"/>
            <w:tcBorders>
              <w:top w:val="nil"/>
              <w:left w:val="nil"/>
              <w:bottom w:val="single" w:sz="4" w:space="0" w:color="auto"/>
              <w:right w:val="single" w:sz="4" w:space="0" w:color="auto"/>
            </w:tcBorders>
            <w:shd w:val="clear" w:color="auto" w:fill="auto"/>
            <w:hideMark/>
          </w:tcPr>
          <w:p w14:paraId="7B36871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5EA4A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60BF7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FF067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BF366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Email Updates: </w:t>
            </w:r>
          </w:p>
        </w:tc>
        <w:tc>
          <w:tcPr>
            <w:tcW w:w="6762" w:type="dxa"/>
            <w:tcBorders>
              <w:top w:val="nil"/>
              <w:left w:val="nil"/>
              <w:bottom w:val="single" w:sz="4" w:space="0" w:color="auto"/>
              <w:right w:val="single" w:sz="4" w:space="0" w:color="auto"/>
            </w:tcBorders>
            <w:shd w:val="clear" w:color="auto" w:fill="auto"/>
            <w:hideMark/>
          </w:tcPr>
          <w:p w14:paraId="1697AB6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Send out email newsletters or updates to all subscribers on the campaign mailing list, ensuring direct communication with backers and interested parties.</w:t>
            </w:r>
          </w:p>
        </w:tc>
        <w:tc>
          <w:tcPr>
            <w:tcW w:w="2566" w:type="dxa"/>
            <w:tcBorders>
              <w:top w:val="nil"/>
              <w:left w:val="nil"/>
              <w:bottom w:val="single" w:sz="4" w:space="0" w:color="auto"/>
              <w:right w:val="single" w:sz="4" w:space="0" w:color="auto"/>
            </w:tcBorders>
            <w:shd w:val="clear" w:color="auto" w:fill="auto"/>
            <w:hideMark/>
          </w:tcPr>
          <w:p w14:paraId="53980E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FCEC9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99D82B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AD259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Social Media Posts: </w:t>
            </w:r>
          </w:p>
        </w:tc>
        <w:tc>
          <w:tcPr>
            <w:tcW w:w="6762" w:type="dxa"/>
            <w:tcBorders>
              <w:top w:val="nil"/>
              <w:left w:val="nil"/>
              <w:bottom w:val="single" w:sz="4" w:space="0" w:color="auto"/>
              <w:right w:val="single" w:sz="4" w:space="0" w:color="auto"/>
            </w:tcBorders>
            <w:shd w:val="clear" w:color="auto" w:fill="auto"/>
            <w:hideMark/>
          </w:tcPr>
          <w:p w14:paraId="6F88BE2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Share condensed versions of updates on social media platforms, accompanied by engaging visuals or key highlights, to reach a broader audience and drive traffic to the campaign page.</w:t>
            </w:r>
          </w:p>
        </w:tc>
        <w:tc>
          <w:tcPr>
            <w:tcW w:w="2566" w:type="dxa"/>
            <w:tcBorders>
              <w:top w:val="nil"/>
              <w:left w:val="nil"/>
              <w:bottom w:val="single" w:sz="4" w:space="0" w:color="auto"/>
              <w:right w:val="single" w:sz="4" w:space="0" w:color="auto"/>
            </w:tcBorders>
            <w:shd w:val="clear" w:color="auto" w:fill="auto"/>
            <w:hideMark/>
          </w:tcPr>
          <w:p w14:paraId="6BF4520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E5D8B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00CCF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84CE4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Campaign Page Updates: </w:t>
            </w:r>
          </w:p>
        </w:tc>
        <w:tc>
          <w:tcPr>
            <w:tcW w:w="6762" w:type="dxa"/>
            <w:tcBorders>
              <w:top w:val="nil"/>
              <w:left w:val="nil"/>
              <w:bottom w:val="single" w:sz="4" w:space="0" w:color="auto"/>
              <w:right w:val="single" w:sz="4" w:space="0" w:color="auto"/>
            </w:tcBorders>
            <w:shd w:val="clear" w:color="auto" w:fill="auto"/>
            <w:hideMark/>
          </w:tcPr>
          <w:p w14:paraId="2FEABF1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Regularly update the campaign page with detailed project updates, ensuring all visitors, including potential backers, have access to the latest information and progress reports.</w:t>
            </w:r>
          </w:p>
        </w:tc>
        <w:tc>
          <w:tcPr>
            <w:tcW w:w="2566" w:type="dxa"/>
            <w:tcBorders>
              <w:top w:val="nil"/>
              <w:left w:val="nil"/>
              <w:bottom w:val="single" w:sz="4" w:space="0" w:color="auto"/>
              <w:right w:val="single" w:sz="4" w:space="0" w:color="auto"/>
            </w:tcBorders>
            <w:shd w:val="clear" w:color="auto" w:fill="auto"/>
            <w:hideMark/>
          </w:tcPr>
          <w:p w14:paraId="5BB153B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35C6B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8B6DB2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01A99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4. Backer-Only Updates: </w:t>
            </w:r>
          </w:p>
        </w:tc>
        <w:tc>
          <w:tcPr>
            <w:tcW w:w="6762" w:type="dxa"/>
            <w:tcBorders>
              <w:top w:val="nil"/>
              <w:left w:val="nil"/>
              <w:bottom w:val="single" w:sz="4" w:space="0" w:color="auto"/>
              <w:right w:val="single" w:sz="4" w:space="0" w:color="auto"/>
            </w:tcBorders>
            <w:shd w:val="clear" w:color="auto" w:fill="auto"/>
            <w:hideMark/>
          </w:tcPr>
          <w:p w14:paraId="2CD360C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exclusive updates or behind-the-scenes content for backers only, rewarding their support and fostering a sense of belonging and exclusivity within the community.</w:t>
            </w:r>
          </w:p>
        </w:tc>
        <w:tc>
          <w:tcPr>
            <w:tcW w:w="2566" w:type="dxa"/>
            <w:tcBorders>
              <w:top w:val="nil"/>
              <w:left w:val="nil"/>
              <w:bottom w:val="single" w:sz="4" w:space="0" w:color="auto"/>
              <w:right w:val="single" w:sz="4" w:space="0" w:color="auto"/>
            </w:tcBorders>
            <w:shd w:val="clear" w:color="auto" w:fill="auto"/>
            <w:hideMark/>
          </w:tcPr>
          <w:p w14:paraId="44341C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B3F16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0155C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89BA2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Engagement and Interaction:</w:t>
            </w:r>
          </w:p>
        </w:tc>
        <w:tc>
          <w:tcPr>
            <w:tcW w:w="6762" w:type="dxa"/>
            <w:tcBorders>
              <w:top w:val="nil"/>
              <w:left w:val="nil"/>
              <w:bottom w:val="single" w:sz="4" w:space="0" w:color="auto"/>
              <w:right w:val="single" w:sz="4" w:space="0" w:color="auto"/>
            </w:tcBorders>
            <w:shd w:val="clear" w:color="auto" w:fill="auto"/>
            <w:hideMark/>
          </w:tcPr>
          <w:p w14:paraId="24B6E0A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D53DE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C3AF8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B41B2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74170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Encourage Feedback: </w:t>
            </w:r>
          </w:p>
        </w:tc>
        <w:tc>
          <w:tcPr>
            <w:tcW w:w="6762" w:type="dxa"/>
            <w:tcBorders>
              <w:top w:val="nil"/>
              <w:left w:val="nil"/>
              <w:bottom w:val="single" w:sz="4" w:space="0" w:color="auto"/>
              <w:right w:val="single" w:sz="4" w:space="0" w:color="auto"/>
            </w:tcBorders>
            <w:shd w:val="clear" w:color="auto" w:fill="auto"/>
            <w:hideMark/>
          </w:tcPr>
          <w:p w14:paraId="2AA4D4E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Invite backers to share their thoughts, feedback, or questions in response to updates, fostering two-way communication and engagement.</w:t>
            </w:r>
          </w:p>
        </w:tc>
        <w:tc>
          <w:tcPr>
            <w:tcW w:w="2566" w:type="dxa"/>
            <w:tcBorders>
              <w:top w:val="nil"/>
              <w:left w:val="nil"/>
              <w:bottom w:val="single" w:sz="4" w:space="0" w:color="auto"/>
              <w:right w:val="single" w:sz="4" w:space="0" w:color="auto"/>
            </w:tcBorders>
            <w:shd w:val="clear" w:color="auto" w:fill="auto"/>
            <w:hideMark/>
          </w:tcPr>
          <w:p w14:paraId="1088FF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741E3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831F1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149B5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Respond Promptly: </w:t>
            </w:r>
          </w:p>
        </w:tc>
        <w:tc>
          <w:tcPr>
            <w:tcW w:w="6762" w:type="dxa"/>
            <w:tcBorders>
              <w:top w:val="nil"/>
              <w:left w:val="nil"/>
              <w:bottom w:val="single" w:sz="4" w:space="0" w:color="auto"/>
              <w:right w:val="single" w:sz="4" w:space="0" w:color="auto"/>
            </w:tcBorders>
            <w:shd w:val="clear" w:color="auto" w:fill="auto"/>
            <w:hideMark/>
          </w:tcPr>
          <w:p w14:paraId="2497EF6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comments, messages, or emails from backers and respond promptly with personalized, thoughtful replies, demonstrating attentiveness and commitment to supporter satisfaction.</w:t>
            </w:r>
          </w:p>
        </w:tc>
        <w:tc>
          <w:tcPr>
            <w:tcW w:w="2566" w:type="dxa"/>
            <w:tcBorders>
              <w:top w:val="nil"/>
              <w:left w:val="nil"/>
              <w:bottom w:val="single" w:sz="4" w:space="0" w:color="auto"/>
              <w:right w:val="single" w:sz="4" w:space="0" w:color="auto"/>
            </w:tcBorders>
            <w:shd w:val="clear" w:color="auto" w:fill="auto"/>
            <w:hideMark/>
          </w:tcPr>
          <w:p w14:paraId="73C764D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719F5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8B8E2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D6284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Acknowledge Contributions: </w:t>
            </w:r>
          </w:p>
        </w:tc>
        <w:tc>
          <w:tcPr>
            <w:tcW w:w="6762" w:type="dxa"/>
            <w:tcBorders>
              <w:top w:val="nil"/>
              <w:left w:val="nil"/>
              <w:bottom w:val="single" w:sz="4" w:space="0" w:color="auto"/>
              <w:right w:val="single" w:sz="4" w:space="0" w:color="auto"/>
            </w:tcBorders>
            <w:shd w:val="clear" w:color="auto" w:fill="auto"/>
            <w:hideMark/>
          </w:tcPr>
          <w:p w14:paraId="7DD34B0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Acknowledge the contributions and support of backers in each update, expressing gratitude and recognition for their role in the project's success.</w:t>
            </w:r>
          </w:p>
        </w:tc>
        <w:tc>
          <w:tcPr>
            <w:tcW w:w="2566" w:type="dxa"/>
            <w:tcBorders>
              <w:top w:val="nil"/>
              <w:left w:val="nil"/>
              <w:bottom w:val="single" w:sz="4" w:space="0" w:color="auto"/>
              <w:right w:val="single" w:sz="4" w:space="0" w:color="auto"/>
            </w:tcBorders>
            <w:shd w:val="clear" w:color="auto" w:fill="auto"/>
            <w:hideMark/>
          </w:tcPr>
          <w:p w14:paraId="2DF36B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324F9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7F9CE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82494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4. Incorporate Suggestions: </w:t>
            </w:r>
          </w:p>
        </w:tc>
        <w:tc>
          <w:tcPr>
            <w:tcW w:w="6762" w:type="dxa"/>
            <w:tcBorders>
              <w:top w:val="nil"/>
              <w:left w:val="nil"/>
              <w:bottom w:val="single" w:sz="4" w:space="0" w:color="auto"/>
              <w:right w:val="single" w:sz="4" w:space="0" w:color="auto"/>
            </w:tcBorders>
            <w:shd w:val="clear" w:color="auto" w:fill="auto"/>
            <w:hideMark/>
          </w:tcPr>
          <w:p w14:paraId="52431EA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Consider incorporating suggestions, ideas, or feedback from backers into future updates or project plans, demonstrating responsiveness and inclusivity.</w:t>
            </w:r>
          </w:p>
        </w:tc>
        <w:tc>
          <w:tcPr>
            <w:tcW w:w="2566" w:type="dxa"/>
            <w:tcBorders>
              <w:top w:val="nil"/>
              <w:left w:val="nil"/>
              <w:bottom w:val="single" w:sz="4" w:space="0" w:color="auto"/>
              <w:right w:val="single" w:sz="4" w:space="0" w:color="auto"/>
            </w:tcBorders>
            <w:shd w:val="clear" w:color="auto" w:fill="auto"/>
            <w:hideMark/>
          </w:tcPr>
          <w:p w14:paraId="73FD08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4C222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E2389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5CF2D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Measurement and Evaluation:</w:t>
            </w:r>
          </w:p>
        </w:tc>
        <w:tc>
          <w:tcPr>
            <w:tcW w:w="6762" w:type="dxa"/>
            <w:tcBorders>
              <w:top w:val="nil"/>
              <w:left w:val="nil"/>
              <w:bottom w:val="single" w:sz="4" w:space="0" w:color="auto"/>
              <w:right w:val="single" w:sz="4" w:space="0" w:color="auto"/>
            </w:tcBorders>
            <w:shd w:val="clear" w:color="auto" w:fill="auto"/>
            <w:hideMark/>
          </w:tcPr>
          <w:p w14:paraId="0CDC274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DC73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AA59D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BC817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4BABE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1. Track Engagement Metrics: </w:t>
            </w:r>
          </w:p>
        </w:tc>
        <w:tc>
          <w:tcPr>
            <w:tcW w:w="6762" w:type="dxa"/>
            <w:tcBorders>
              <w:top w:val="nil"/>
              <w:left w:val="nil"/>
              <w:bottom w:val="single" w:sz="4" w:space="0" w:color="auto"/>
              <w:right w:val="single" w:sz="4" w:space="0" w:color="auto"/>
            </w:tcBorders>
            <w:shd w:val="clear" w:color="auto" w:fill="auto"/>
            <w:hideMark/>
          </w:tcPr>
          <w:p w14:paraId="100F9D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engagement metrics such as open rates, click-through rates, social media interactions, and comments to gauge the effectiveness and impact of project updates.</w:t>
            </w:r>
          </w:p>
        </w:tc>
        <w:tc>
          <w:tcPr>
            <w:tcW w:w="2566" w:type="dxa"/>
            <w:tcBorders>
              <w:top w:val="nil"/>
              <w:left w:val="nil"/>
              <w:bottom w:val="single" w:sz="4" w:space="0" w:color="auto"/>
              <w:right w:val="single" w:sz="4" w:space="0" w:color="auto"/>
            </w:tcBorders>
            <w:shd w:val="clear" w:color="auto" w:fill="auto"/>
            <w:hideMark/>
          </w:tcPr>
          <w:p w14:paraId="42185CB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56A5B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14624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EAFCC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2. Analyze Backer Sentiment: </w:t>
            </w:r>
          </w:p>
        </w:tc>
        <w:tc>
          <w:tcPr>
            <w:tcW w:w="6762" w:type="dxa"/>
            <w:tcBorders>
              <w:top w:val="nil"/>
              <w:left w:val="nil"/>
              <w:bottom w:val="single" w:sz="4" w:space="0" w:color="auto"/>
              <w:right w:val="single" w:sz="4" w:space="0" w:color="auto"/>
            </w:tcBorders>
            <w:shd w:val="clear" w:color="auto" w:fill="auto"/>
            <w:hideMark/>
          </w:tcPr>
          <w:p w14:paraId="33F04C9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Analyze feedback, comments, and reactions from backers to assess sentiment and adjust communication strategies or project plans accordingly.</w:t>
            </w:r>
          </w:p>
        </w:tc>
        <w:tc>
          <w:tcPr>
            <w:tcW w:w="2566" w:type="dxa"/>
            <w:tcBorders>
              <w:top w:val="nil"/>
              <w:left w:val="nil"/>
              <w:bottom w:val="single" w:sz="4" w:space="0" w:color="auto"/>
              <w:right w:val="single" w:sz="4" w:space="0" w:color="auto"/>
            </w:tcBorders>
            <w:shd w:val="clear" w:color="auto" w:fill="auto"/>
            <w:hideMark/>
          </w:tcPr>
          <w:p w14:paraId="24B6FE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AEAE3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206B9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CD7C3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3. Iterate and Improve: </w:t>
            </w:r>
          </w:p>
        </w:tc>
        <w:tc>
          <w:tcPr>
            <w:tcW w:w="6762" w:type="dxa"/>
            <w:tcBorders>
              <w:top w:val="nil"/>
              <w:left w:val="nil"/>
              <w:bottom w:val="single" w:sz="4" w:space="0" w:color="auto"/>
              <w:right w:val="single" w:sz="4" w:space="0" w:color="auto"/>
            </w:tcBorders>
            <w:shd w:val="clear" w:color="auto" w:fill="auto"/>
            <w:hideMark/>
          </w:tcPr>
          <w:p w14:paraId="5A223D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Continuously iterate on update content, format, and distribution based on performance data and feedback, striving to improve relevance, engagement, and overall campaign success.</w:t>
            </w:r>
          </w:p>
        </w:tc>
        <w:tc>
          <w:tcPr>
            <w:tcW w:w="2566" w:type="dxa"/>
            <w:tcBorders>
              <w:top w:val="nil"/>
              <w:left w:val="nil"/>
              <w:bottom w:val="single" w:sz="4" w:space="0" w:color="auto"/>
              <w:right w:val="single" w:sz="4" w:space="0" w:color="auto"/>
            </w:tcBorders>
            <w:shd w:val="clear" w:color="auto" w:fill="auto"/>
            <w:hideMark/>
          </w:tcPr>
          <w:p w14:paraId="6EAF0DB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8A742C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45DD0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1BDAE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AAEB5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1139E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66711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3BA2C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51CFC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Updates: </w:t>
            </w:r>
          </w:p>
        </w:tc>
        <w:tc>
          <w:tcPr>
            <w:tcW w:w="6762" w:type="dxa"/>
            <w:tcBorders>
              <w:top w:val="nil"/>
              <w:left w:val="nil"/>
              <w:bottom w:val="single" w:sz="4" w:space="0" w:color="auto"/>
              <w:right w:val="single" w:sz="4" w:space="0" w:color="auto"/>
            </w:tcBorders>
            <w:shd w:val="clear" w:color="auto" w:fill="auto"/>
            <w:hideMark/>
          </w:tcPr>
          <w:p w14:paraId="759BFB3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providing regular, informative, and engaging project updates, the campaign can keep backers informed, motivated, and invested in the project's journey, ultimately driving support and momentum towards achieving its goals.</w:t>
            </w:r>
          </w:p>
        </w:tc>
        <w:tc>
          <w:tcPr>
            <w:tcW w:w="2566" w:type="dxa"/>
            <w:tcBorders>
              <w:top w:val="nil"/>
              <w:left w:val="nil"/>
              <w:bottom w:val="single" w:sz="4" w:space="0" w:color="auto"/>
              <w:right w:val="single" w:sz="4" w:space="0" w:color="auto"/>
            </w:tcBorders>
            <w:shd w:val="clear" w:color="auto" w:fill="auto"/>
            <w:hideMark/>
          </w:tcPr>
          <w:p w14:paraId="7C00B68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81038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F0E68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C390F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Project Updates:</w:t>
            </w:r>
          </w:p>
        </w:tc>
        <w:tc>
          <w:tcPr>
            <w:tcW w:w="6762" w:type="dxa"/>
            <w:tcBorders>
              <w:top w:val="nil"/>
              <w:left w:val="nil"/>
              <w:bottom w:val="single" w:sz="4" w:space="0" w:color="auto"/>
              <w:right w:val="single" w:sz="4" w:space="0" w:color="auto"/>
            </w:tcBorders>
            <w:shd w:val="clear" w:color="auto" w:fill="auto"/>
            <w:hideMark/>
          </w:tcPr>
          <w:p w14:paraId="679C078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Use a variety of formats such as text updates, videos, infographics, and live streams to keep backers informed and engaged.</w:t>
            </w:r>
          </w:p>
        </w:tc>
        <w:tc>
          <w:tcPr>
            <w:tcW w:w="2566" w:type="dxa"/>
            <w:tcBorders>
              <w:top w:val="nil"/>
              <w:left w:val="nil"/>
              <w:bottom w:val="single" w:sz="4" w:space="0" w:color="auto"/>
              <w:right w:val="single" w:sz="4" w:space="0" w:color="auto"/>
            </w:tcBorders>
            <w:shd w:val="clear" w:color="auto" w:fill="auto"/>
            <w:hideMark/>
          </w:tcPr>
          <w:p w14:paraId="67DA87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579E4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171D3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D70CF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18D04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Utilizing a variety of formats for project updates is an excellent strategy to cater to different preferences and enhance engagement levels among backers. Here's a detailed breakdown of how each format can be effectively utilized:</w:t>
            </w:r>
          </w:p>
        </w:tc>
        <w:tc>
          <w:tcPr>
            <w:tcW w:w="2566" w:type="dxa"/>
            <w:tcBorders>
              <w:top w:val="nil"/>
              <w:left w:val="nil"/>
              <w:bottom w:val="single" w:sz="4" w:space="0" w:color="auto"/>
              <w:right w:val="single" w:sz="4" w:space="0" w:color="auto"/>
            </w:tcBorders>
            <w:shd w:val="clear" w:color="auto" w:fill="auto"/>
            <w:hideMark/>
          </w:tcPr>
          <w:p w14:paraId="69FBC8E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D3B3D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B5FD3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4B2B0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Text Updates:</w:t>
            </w:r>
          </w:p>
        </w:tc>
        <w:tc>
          <w:tcPr>
            <w:tcW w:w="6762" w:type="dxa"/>
            <w:tcBorders>
              <w:top w:val="nil"/>
              <w:left w:val="nil"/>
              <w:bottom w:val="single" w:sz="4" w:space="0" w:color="auto"/>
              <w:right w:val="single" w:sz="4" w:space="0" w:color="auto"/>
            </w:tcBorders>
            <w:shd w:val="clear" w:color="auto" w:fill="auto"/>
            <w:hideMark/>
          </w:tcPr>
          <w:p w14:paraId="1CBE103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2801C8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F5E8B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FA6696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25DC9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Detailed Progress Reports: </w:t>
            </w:r>
          </w:p>
        </w:tc>
        <w:tc>
          <w:tcPr>
            <w:tcW w:w="6762" w:type="dxa"/>
            <w:tcBorders>
              <w:top w:val="nil"/>
              <w:left w:val="nil"/>
              <w:bottom w:val="single" w:sz="4" w:space="0" w:color="auto"/>
              <w:right w:val="single" w:sz="4" w:space="0" w:color="auto"/>
            </w:tcBorders>
            <w:shd w:val="clear" w:color="auto" w:fill="auto"/>
            <w:hideMark/>
          </w:tcPr>
          <w:p w14:paraId="1D8CA70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comprehensive written updates detailing progress, achievements, challenges, and upcoming milestones in a structured and informative manner.</w:t>
            </w:r>
          </w:p>
        </w:tc>
        <w:tc>
          <w:tcPr>
            <w:tcW w:w="2566" w:type="dxa"/>
            <w:tcBorders>
              <w:top w:val="nil"/>
              <w:left w:val="nil"/>
              <w:bottom w:val="single" w:sz="4" w:space="0" w:color="auto"/>
              <w:right w:val="single" w:sz="4" w:space="0" w:color="auto"/>
            </w:tcBorders>
            <w:shd w:val="clear" w:color="auto" w:fill="auto"/>
            <w:hideMark/>
          </w:tcPr>
          <w:p w14:paraId="37F1BD3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BEC4F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7ED6B4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386DF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Personal Stories and Anecdotes: </w:t>
            </w:r>
          </w:p>
        </w:tc>
        <w:tc>
          <w:tcPr>
            <w:tcW w:w="6762" w:type="dxa"/>
            <w:tcBorders>
              <w:top w:val="nil"/>
              <w:left w:val="nil"/>
              <w:bottom w:val="single" w:sz="4" w:space="0" w:color="auto"/>
              <w:right w:val="single" w:sz="4" w:space="0" w:color="auto"/>
            </w:tcBorders>
            <w:shd w:val="clear" w:color="auto" w:fill="auto"/>
            <w:hideMark/>
          </w:tcPr>
          <w:p w14:paraId="41E0406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Share personal stories, anecdotes, or reflections from the project team members to add a human touch and foster a deeper connection with backers.</w:t>
            </w:r>
          </w:p>
        </w:tc>
        <w:tc>
          <w:tcPr>
            <w:tcW w:w="2566" w:type="dxa"/>
            <w:tcBorders>
              <w:top w:val="nil"/>
              <w:left w:val="nil"/>
              <w:bottom w:val="single" w:sz="4" w:space="0" w:color="auto"/>
              <w:right w:val="single" w:sz="4" w:space="0" w:color="auto"/>
            </w:tcBorders>
            <w:shd w:val="clear" w:color="auto" w:fill="auto"/>
            <w:hideMark/>
          </w:tcPr>
          <w:p w14:paraId="531474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181E1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B969E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5345F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Q&amp;A Sessions: </w:t>
            </w:r>
          </w:p>
        </w:tc>
        <w:tc>
          <w:tcPr>
            <w:tcW w:w="6762" w:type="dxa"/>
            <w:tcBorders>
              <w:top w:val="nil"/>
              <w:left w:val="nil"/>
              <w:bottom w:val="single" w:sz="4" w:space="0" w:color="auto"/>
              <w:right w:val="single" w:sz="4" w:space="0" w:color="auto"/>
            </w:tcBorders>
            <w:shd w:val="clear" w:color="auto" w:fill="auto"/>
            <w:hideMark/>
          </w:tcPr>
          <w:p w14:paraId="01B0083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Q&amp;A sessions where backers can submit questions in advance or during the update, addressing their inquiries directly in written format.</w:t>
            </w:r>
          </w:p>
        </w:tc>
        <w:tc>
          <w:tcPr>
            <w:tcW w:w="2566" w:type="dxa"/>
            <w:tcBorders>
              <w:top w:val="nil"/>
              <w:left w:val="nil"/>
              <w:bottom w:val="single" w:sz="4" w:space="0" w:color="auto"/>
              <w:right w:val="single" w:sz="4" w:space="0" w:color="auto"/>
            </w:tcBorders>
            <w:shd w:val="clear" w:color="auto" w:fill="auto"/>
            <w:hideMark/>
          </w:tcPr>
          <w:p w14:paraId="59373C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D3F73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34830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85026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Videos:</w:t>
            </w:r>
          </w:p>
        </w:tc>
        <w:tc>
          <w:tcPr>
            <w:tcW w:w="6762" w:type="dxa"/>
            <w:tcBorders>
              <w:top w:val="nil"/>
              <w:left w:val="nil"/>
              <w:bottom w:val="single" w:sz="4" w:space="0" w:color="auto"/>
              <w:right w:val="single" w:sz="4" w:space="0" w:color="auto"/>
            </w:tcBorders>
            <w:shd w:val="clear" w:color="auto" w:fill="auto"/>
            <w:hideMark/>
          </w:tcPr>
          <w:p w14:paraId="50B9689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3EED7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280D6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AC0A3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4A2BE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Project Milestone Celebrations: </w:t>
            </w:r>
          </w:p>
        </w:tc>
        <w:tc>
          <w:tcPr>
            <w:tcW w:w="6762" w:type="dxa"/>
            <w:tcBorders>
              <w:top w:val="nil"/>
              <w:left w:val="nil"/>
              <w:bottom w:val="single" w:sz="4" w:space="0" w:color="auto"/>
              <w:right w:val="single" w:sz="4" w:space="0" w:color="auto"/>
            </w:tcBorders>
            <w:shd w:val="clear" w:color="auto" w:fill="auto"/>
            <w:hideMark/>
          </w:tcPr>
          <w:p w14:paraId="5783AD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videos celebrating key milestones, achievements, or breakthroughs, showcasing the project team's excitement and gratitude.</w:t>
            </w:r>
          </w:p>
        </w:tc>
        <w:tc>
          <w:tcPr>
            <w:tcW w:w="2566" w:type="dxa"/>
            <w:tcBorders>
              <w:top w:val="nil"/>
              <w:left w:val="nil"/>
              <w:bottom w:val="single" w:sz="4" w:space="0" w:color="auto"/>
              <w:right w:val="single" w:sz="4" w:space="0" w:color="auto"/>
            </w:tcBorders>
            <w:shd w:val="clear" w:color="auto" w:fill="auto"/>
            <w:hideMark/>
          </w:tcPr>
          <w:p w14:paraId="719E9E3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B7C85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497F50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9FCCB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Behind-the-Scenes Footage: </w:t>
            </w:r>
          </w:p>
        </w:tc>
        <w:tc>
          <w:tcPr>
            <w:tcW w:w="6762" w:type="dxa"/>
            <w:tcBorders>
              <w:top w:val="nil"/>
              <w:left w:val="nil"/>
              <w:bottom w:val="single" w:sz="4" w:space="0" w:color="auto"/>
              <w:right w:val="single" w:sz="4" w:space="0" w:color="auto"/>
            </w:tcBorders>
            <w:shd w:val="clear" w:color="auto" w:fill="auto"/>
            <w:hideMark/>
          </w:tcPr>
          <w:p w14:paraId="417D1A5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Offer behind-the-scenes glimpses into the project's development process, featuring interviews with team members, footage of work in progress, or demonstrations of project features.</w:t>
            </w:r>
          </w:p>
        </w:tc>
        <w:tc>
          <w:tcPr>
            <w:tcW w:w="2566" w:type="dxa"/>
            <w:tcBorders>
              <w:top w:val="nil"/>
              <w:left w:val="nil"/>
              <w:bottom w:val="single" w:sz="4" w:space="0" w:color="auto"/>
              <w:right w:val="single" w:sz="4" w:space="0" w:color="auto"/>
            </w:tcBorders>
            <w:shd w:val="clear" w:color="auto" w:fill="auto"/>
            <w:hideMark/>
          </w:tcPr>
          <w:p w14:paraId="776751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B8690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28D24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B8180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Live Updates and Q&amp;A: </w:t>
            </w:r>
          </w:p>
        </w:tc>
        <w:tc>
          <w:tcPr>
            <w:tcW w:w="6762" w:type="dxa"/>
            <w:tcBorders>
              <w:top w:val="nil"/>
              <w:left w:val="nil"/>
              <w:bottom w:val="single" w:sz="4" w:space="0" w:color="auto"/>
              <w:right w:val="single" w:sz="4" w:space="0" w:color="auto"/>
            </w:tcBorders>
            <w:shd w:val="clear" w:color="auto" w:fill="auto"/>
            <w:hideMark/>
          </w:tcPr>
          <w:p w14:paraId="707F09D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Host live video updates or Q&amp;A sessions where backers can interact in real-time, ask questions, and receive immediate responses from the project team.</w:t>
            </w:r>
          </w:p>
        </w:tc>
        <w:tc>
          <w:tcPr>
            <w:tcW w:w="2566" w:type="dxa"/>
            <w:tcBorders>
              <w:top w:val="nil"/>
              <w:left w:val="nil"/>
              <w:bottom w:val="single" w:sz="4" w:space="0" w:color="auto"/>
              <w:right w:val="single" w:sz="4" w:space="0" w:color="auto"/>
            </w:tcBorders>
            <w:shd w:val="clear" w:color="auto" w:fill="auto"/>
            <w:hideMark/>
          </w:tcPr>
          <w:p w14:paraId="54A8ED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9AAD9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0A2264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A371F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Infographics:</w:t>
            </w:r>
          </w:p>
        </w:tc>
        <w:tc>
          <w:tcPr>
            <w:tcW w:w="6762" w:type="dxa"/>
            <w:tcBorders>
              <w:top w:val="nil"/>
              <w:left w:val="nil"/>
              <w:bottom w:val="single" w:sz="4" w:space="0" w:color="auto"/>
              <w:right w:val="single" w:sz="4" w:space="0" w:color="auto"/>
            </w:tcBorders>
            <w:shd w:val="clear" w:color="auto" w:fill="auto"/>
            <w:hideMark/>
          </w:tcPr>
          <w:p w14:paraId="1459155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9351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38719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701F8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B5C21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Visual Progress Reports: </w:t>
            </w:r>
          </w:p>
        </w:tc>
        <w:tc>
          <w:tcPr>
            <w:tcW w:w="6762" w:type="dxa"/>
            <w:tcBorders>
              <w:top w:val="nil"/>
              <w:left w:val="nil"/>
              <w:bottom w:val="single" w:sz="4" w:space="0" w:color="auto"/>
              <w:right w:val="single" w:sz="4" w:space="0" w:color="auto"/>
            </w:tcBorders>
            <w:shd w:val="clear" w:color="auto" w:fill="auto"/>
            <w:hideMark/>
          </w:tcPr>
          <w:p w14:paraId="54E35A4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Present project updates in visually appealing infographic formats, summarizing key achievements, statistics, or progress metrics in an easily digestible and shareable manner.</w:t>
            </w:r>
          </w:p>
        </w:tc>
        <w:tc>
          <w:tcPr>
            <w:tcW w:w="2566" w:type="dxa"/>
            <w:tcBorders>
              <w:top w:val="nil"/>
              <w:left w:val="nil"/>
              <w:bottom w:val="single" w:sz="4" w:space="0" w:color="auto"/>
              <w:right w:val="single" w:sz="4" w:space="0" w:color="auto"/>
            </w:tcBorders>
            <w:shd w:val="clear" w:color="auto" w:fill="auto"/>
            <w:hideMark/>
          </w:tcPr>
          <w:p w14:paraId="310BF8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9C2C3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76A06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8BC82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Data Visualization: </w:t>
            </w:r>
          </w:p>
        </w:tc>
        <w:tc>
          <w:tcPr>
            <w:tcW w:w="6762" w:type="dxa"/>
            <w:tcBorders>
              <w:top w:val="nil"/>
              <w:left w:val="nil"/>
              <w:bottom w:val="single" w:sz="4" w:space="0" w:color="auto"/>
              <w:right w:val="single" w:sz="4" w:space="0" w:color="auto"/>
            </w:tcBorders>
            <w:shd w:val="clear" w:color="auto" w:fill="auto"/>
            <w:hideMark/>
          </w:tcPr>
          <w:p w14:paraId="628AD0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infographics to visualize complex data, trends, or insights related to the project's development, helping backers understand the impact and significance of their support.</w:t>
            </w:r>
          </w:p>
        </w:tc>
        <w:tc>
          <w:tcPr>
            <w:tcW w:w="2566" w:type="dxa"/>
            <w:tcBorders>
              <w:top w:val="nil"/>
              <w:left w:val="nil"/>
              <w:bottom w:val="single" w:sz="4" w:space="0" w:color="auto"/>
              <w:right w:val="single" w:sz="4" w:space="0" w:color="auto"/>
            </w:tcBorders>
            <w:shd w:val="clear" w:color="auto" w:fill="auto"/>
            <w:hideMark/>
          </w:tcPr>
          <w:p w14:paraId="025B24B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4E877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B59FCF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4BB580"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Live Streams:</w:t>
            </w:r>
          </w:p>
        </w:tc>
        <w:tc>
          <w:tcPr>
            <w:tcW w:w="6762" w:type="dxa"/>
            <w:tcBorders>
              <w:top w:val="nil"/>
              <w:left w:val="nil"/>
              <w:bottom w:val="single" w:sz="4" w:space="0" w:color="auto"/>
              <w:right w:val="single" w:sz="4" w:space="0" w:color="auto"/>
            </w:tcBorders>
            <w:shd w:val="clear" w:color="auto" w:fill="auto"/>
            <w:hideMark/>
          </w:tcPr>
          <w:p w14:paraId="517EDAD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A9F821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EE2E7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3AFDBA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89DC4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Updates: </w:t>
            </w:r>
          </w:p>
        </w:tc>
        <w:tc>
          <w:tcPr>
            <w:tcW w:w="6762" w:type="dxa"/>
            <w:tcBorders>
              <w:top w:val="nil"/>
              <w:left w:val="nil"/>
              <w:bottom w:val="single" w:sz="4" w:space="0" w:color="auto"/>
              <w:right w:val="single" w:sz="4" w:space="0" w:color="auto"/>
            </w:tcBorders>
            <w:shd w:val="clear" w:color="auto" w:fill="auto"/>
            <w:hideMark/>
          </w:tcPr>
          <w:p w14:paraId="0FD43E2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live streaming sessions where backers can join in real-time to receive updates, ask questions, and participate in discussions with the project team.</w:t>
            </w:r>
          </w:p>
        </w:tc>
        <w:tc>
          <w:tcPr>
            <w:tcW w:w="2566" w:type="dxa"/>
            <w:tcBorders>
              <w:top w:val="nil"/>
              <w:left w:val="nil"/>
              <w:bottom w:val="single" w:sz="4" w:space="0" w:color="auto"/>
              <w:right w:val="single" w:sz="4" w:space="0" w:color="auto"/>
            </w:tcBorders>
            <w:shd w:val="clear" w:color="auto" w:fill="auto"/>
            <w:hideMark/>
          </w:tcPr>
          <w:p w14:paraId="5C6208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720E4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77A26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16C7F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Demonstrations and Product Showcases: </w:t>
            </w:r>
          </w:p>
        </w:tc>
        <w:tc>
          <w:tcPr>
            <w:tcW w:w="6762" w:type="dxa"/>
            <w:tcBorders>
              <w:top w:val="nil"/>
              <w:left w:val="nil"/>
              <w:bottom w:val="single" w:sz="4" w:space="0" w:color="auto"/>
              <w:right w:val="single" w:sz="4" w:space="0" w:color="auto"/>
            </w:tcBorders>
            <w:shd w:val="clear" w:color="auto" w:fill="auto"/>
            <w:hideMark/>
          </w:tcPr>
          <w:p w14:paraId="6901223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Showcase project features, prototypes, or demonstrations live, allowing backers to see the project in action and gain a deeper understanding of its capabilities.</w:t>
            </w:r>
          </w:p>
        </w:tc>
        <w:tc>
          <w:tcPr>
            <w:tcW w:w="2566" w:type="dxa"/>
            <w:tcBorders>
              <w:top w:val="nil"/>
              <w:left w:val="nil"/>
              <w:bottom w:val="single" w:sz="4" w:space="0" w:color="auto"/>
              <w:right w:val="single" w:sz="4" w:space="0" w:color="auto"/>
            </w:tcBorders>
            <w:shd w:val="clear" w:color="auto" w:fill="auto"/>
            <w:hideMark/>
          </w:tcPr>
          <w:p w14:paraId="6B8B9F7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42B39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09B40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08D50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Implementation Considerations:</w:t>
            </w:r>
          </w:p>
        </w:tc>
        <w:tc>
          <w:tcPr>
            <w:tcW w:w="6762" w:type="dxa"/>
            <w:tcBorders>
              <w:top w:val="nil"/>
              <w:left w:val="nil"/>
              <w:bottom w:val="single" w:sz="4" w:space="0" w:color="auto"/>
              <w:right w:val="single" w:sz="4" w:space="0" w:color="auto"/>
            </w:tcBorders>
            <w:shd w:val="clear" w:color="auto" w:fill="auto"/>
            <w:hideMark/>
          </w:tcPr>
          <w:p w14:paraId="30E1BCB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F11C1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56140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4F0CE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1D778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Consistency: </w:t>
            </w:r>
          </w:p>
        </w:tc>
        <w:tc>
          <w:tcPr>
            <w:tcW w:w="6762" w:type="dxa"/>
            <w:tcBorders>
              <w:top w:val="nil"/>
              <w:left w:val="nil"/>
              <w:bottom w:val="single" w:sz="4" w:space="0" w:color="auto"/>
              <w:right w:val="single" w:sz="4" w:space="0" w:color="auto"/>
            </w:tcBorders>
            <w:shd w:val="clear" w:color="auto" w:fill="auto"/>
            <w:hideMark/>
          </w:tcPr>
          <w:p w14:paraId="56804A3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Maintain a consistent schedule for delivering updates in various formats to keep backers engaged and informed throughout the campaign.</w:t>
            </w:r>
          </w:p>
        </w:tc>
        <w:tc>
          <w:tcPr>
            <w:tcW w:w="2566" w:type="dxa"/>
            <w:tcBorders>
              <w:top w:val="nil"/>
              <w:left w:val="nil"/>
              <w:bottom w:val="single" w:sz="4" w:space="0" w:color="auto"/>
              <w:right w:val="single" w:sz="4" w:space="0" w:color="auto"/>
            </w:tcBorders>
            <w:shd w:val="clear" w:color="auto" w:fill="auto"/>
            <w:hideMark/>
          </w:tcPr>
          <w:p w14:paraId="12AC12B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C2EFB2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74B10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C3301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Accessibility: </w:t>
            </w:r>
          </w:p>
        </w:tc>
        <w:tc>
          <w:tcPr>
            <w:tcW w:w="6762" w:type="dxa"/>
            <w:tcBorders>
              <w:top w:val="nil"/>
              <w:left w:val="nil"/>
              <w:bottom w:val="single" w:sz="4" w:space="0" w:color="auto"/>
              <w:right w:val="single" w:sz="4" w:space="0" w:color="auto"/>
            </w:tcBorders>
            <w:shd w:val="clear" w:color="auto" w:fill="auto"/>
            <w:hideMark/>
          </w:tcPr>
          <w:p w14:paraId="7C18EF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Ensure that updates are accessible to all backers, regardless of their preferred format, by providing alternatives or transcripts for video content and descriptive text for visual elements.</w:t>
            </w:r>
          </w:p>
        </w:tc>
        <w:tc>
          <w:tcPr>
            <w:tcW w:w="2566" w:type="dxa"/>
            <w:tcBorders>
              <w:top w:val="nil"/>
              <w:left w:val="nil"/>
              <w:bottom w:val="single" w:sz="4" w:space="0" w:color="auto"/>
              <w:right w:val="single" w:sz="4" w:space="0" w:color="auto"/>
            </w:tcBorders>
            <w:shd w:val="clear" w:color="auto" w:fill="auto"/>
            <w:hideMark/>
          </w:tcPr>
          <w:p w14:paraId="63AC831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FAACCE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164E3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7F30C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Interactivity: </w:t>
            </w:r>
          </w:p>
        </w:tc>
        <w:tc>
          <w:tcPr>
            <w:tcW w:w="6762" w:type="dxa"/>
            <w:tcBorders>
              <w:top w:val="nil"/>
              <w:left w:val="nil"/>
              <w:bottom w:val="single" w:sz="4" w:space="0" w:color="auto"/>
              <w:right w:val="single" w:sz="4" w:space="0" w:color="auto"/>
            </w:tcBorders>
            <w:shd w:val="clear" w:color="auto" w:fill="auto"/>
            <w:hideMark/>
          </w:tcPr>
          <w:p w14:paraId="087FF0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interaction and engagement with updates by inviting backers to leave comments, ask questions, or participate in polls or surveys.</w:t>
            </w:r>
          </w:p>
        </w:tc>
        <w:tc>
          <w:tcPr>
            <w:tcW w:w="2566" w:type="dxa"/>
            <w:tcBorders>
              <w:top w:val="nil"/>
              <w:left w:val="nil"/>
              <w:bottom w:val="single" w:sz="4" w:space="0" w:color="auto"/>
              <w:right w:val="single" w:sz="4" w:space="0" w:color="auto"/>
            </w:tcBorders>
            <w:shd w:val="clear" w:color="auto" w:fill="auto"/>
            <w:hideMark/>
          </w:tcPr>
          <w:p w14:paraId="2F47C70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58926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6839B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F8FD8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Quality: </w:t>
            </w:r>
          </w:p>
        </w:tc>
        <w:tc>
          <w:tcPr>
            <w:tcW w:w="6762" w:type="dxa"/>
            <w:tcBorders>
              <w:top w:val="nil"/>
              <w:left w:val="nil"/>
              <w:bottom w:val="single" w:sz="4" w:space="0" w:color="auto"/>
              <w:right w:val="single" w:sz="4" w:space="0" w:color="auto"/>
            </w:tcBorders>
            <w:shd w:val="clear" w:color="auto" w:fill="auto"/>
            <w:hideMark/>
          </w:tcPr>
          <w:p w14:paraId="4822827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Prioritize quality and professionalism in content creation, ensuring that updates are well-produced, visually appealing, and reflective of the project's brand and values.</w:t>
            </w:r>
          </w:p>
        </w:tc>
        <w:tc>
          <w:tcPr>
            <w:tcW w:w="2566" w:type="dxa"/>
            <w:tcBorders>
              <w:top w:val="nil"/>
              <w:left w:val="nil"/>
              <w:bottom w:val="single" w:sz="4" w:space="0" w:color="auto"/>
              <w:right w:val="single" w:sz="4" w:space="0" w:color="auto"/>
            </w:tcBorders>
            <w:shd w:val="clear" w:color="auto" w:fill="auto"/>
            <w:hideMark/>
          </w:tcPr>
          <w:p w14:paraId="6EF44DC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914E3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9F53B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F5C5C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Diversity: </w:t>
            </w:r>
          </w:p>
        </w:tc>
        <w:tc>
          <w:tcPr>
            <w:tcW w:w="6762" w:type="dxa"/>
            <w:tcBorders>
              <w:top w:val="nil"/>
              <w:left w:val="nil"/>
              <w:bottom w:val="single" w:sz="4" w:space="0" w:color="auto"/>
              <w:right w:val="single" w:sz="4" w:space="0" w:color="auto"/>
            </w:tcBorders>
            <w:shd w:val="clear" w:color="auto" w:fill="auto"/>
            <w:hideMark/>
          </w:tcPr>
          <w:p w14:paraId="62B11C7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incorporating a diverse range of formats into project updates, the campaign can effectively cater to different communication preferences, maximize engagement levels, and maintain momentum towards achieving its funding goals.</w:t>
            </w:r>
          </w:p>
        </w:tc>
        <w:tc>
          <w:tcPr>
            <w:tcW w:w="2566" w:type="dxa"/>
            <w:tcBorders>
              <w:top w:val="nil"/>
              <w:left w:val="nil"/>
              <w:bottom w:val="single" w:sz="4" w:space="0" w:color="auto"/>
              <w:right w:val="single" w:sz="4" w:space="0" w:color="auto"/>
            </w:tcBorders>
            <w:shd w:val="clear" w:color="auto" w:fill="auto"/>
            <w:hideMark/>
          </w:tcPr>
          <w:p w14:paraId="3F9DCB6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A52CB9" w14:textId="77777777" w:rsidTr="0041317E">
        <w:trPr>
          <w:trHeight w:val="1440"/>
        </w:trPr>
        <w:tc>
          <w:tcPr>
            <w:tcW w:w="1349" w:type="dxa"/>
            <w:tcBorders>
              <w:top w:val="nil"/>
              <w:left w:val="single" w:sz="4" w:space="0" w:color="auto"/>
              <w:bottom w:val="single" w:sz="4" w:space="0" w:color="auto"/>
              <w:right w:val="single" w:sz="4" w:space="0" w:color="auto"/>
            </w:tcBorders>
            <w:shd w:val="clear" w:color="auto" w:fill="auto"/>
            <w:hideMark/>
          </w:tcPr>
          <w:p w14:paraId="187364D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F1189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Project Updates:</w:t>
            </w:r>
          </w:p>
        </w:tc>
        <w:tc>
          <w:tcPr>
            <w:tcW w:w="6762" w:type="dxa"/>
            <w:tcBorders>
              <w:top w:val="nil"/>
              <w:left w:val="nil"/>
              <w:bottom w:val="single" w:sz="4" w:space="0" w:color="auto"/>
              <w:right w:val="single" w:sz="4" w:space="0" w:color="auto"/>
            </w:tcBorders>
            <w:shd w:val="clear" w:color="auto" w:fill="auto"/>
            <w:hideMark/>
          </w:tcPr>
          <w:p w14:paraId="4548924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Share stories, anecdotes, and testimonials from team members, collaborators, and supporters to humanize the project and connect with backers on an emotional level.</w:t>
            </w:r>
          </w:p>
        </w:tc>
        <w:tc>
          <w:tcPr>
            <w:tcW w:w="2566" w:type="dxa"/>
            <w:tcBorders>
              <w:top w:val="nil"/>
              <w:left w:val="nil"/>
              <w:bottom w:val="single" w:sz="4" w:space="0" w:color="auto"/>
              <w:right w:val="single" w:sz="4" w:space="0" w:color="auto"/>
            </w:tcBorders>
            <w:shd w:val="clear" w:color="auto" w:fill="auto"/>
            <w:hideMark/>
          </w:tcPr>
          <w:p w14:paraId="0C205D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Create a Weekly Prime Radio podcast that depicts the efforts this week and times before and future momentum and difficulties.</w:t>
            </w:r>
          </w:p>
        </w:tc>
      </w:tr>
      <w:tr w:rsidR="0041317E" w:rsidRPr="0041317E" w14:paraId="1509E39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BB186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931F0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B190D4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Creating a Weekly Prime Radio podcast is an innovative and engaging way to communicate with potential backers throughout the campaign. Here's a detailed breakdown of how this strategy can be implemented effectively:</w:t>
            </w:r>
          </w:p>
        </w:tc>
        <w:tc>
          <w:tcPr>
            <w:tcW w:w="2566" w:type="dxa"/>
            <w:tcBorders>
              <w:top w:val="nil"/>
              <w:left w:val="nil"/>
              <w:bottom w:val="single" w:sz="4" w:space="0" w:color="auto"/>
              <w:right w:val="single" w:sz="4" w:space="0" w:color="auto"/>
            </w:tcBorders>
            <w:shd w:val="clear" w:color="auto" w:fill="auto"/>
            <w:hideMark/>
          </w:tcPr>
          <w:p w14:paraId="3B1E50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75E9D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76C59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AD324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Format and Content:</w:t>
            </w:r>
          </w:p>
        </w:tc>
        <w:tc>
          <w:tcPr>
            <w:tcW w:w="6762" w:type="dxa"/>
            <w:tcBorders>
              <w:top w:val="nil"/>
              <w:left w:val="nil"/>
              <w:bottom w:val="single" w:sz="4" w:space="0" w:color="auto"/>
              <w:right w:val="single" w:sz="4" w:space="0" w:color="auto"/>
            </w:tcBorders>
            <w:shd w:val="clear" w:color="auto" w:fill="auto"/>
            <w:hideMark/>
          </w:tcPr>
          <w:p w14:paraId="596DCFE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CE17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75361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3991A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87489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Episode Structure: </w:t>
            </w:r>
          </w:p>
        </w:tc>
        <w:tc>
          <w:tcPr>
            <w:tcW w:w="6762" w:type="dxa"/>
            <w:tcBorders>
              <w:top w:val="nil"/>
              <w:left w:val="nil"/>
              <w:bottom w:val="single" w:sz="4" w:space="0" w:color="auto"/>
              <w:right w:val="single" w:sz="4" w:space="0" w:color="auto"/>
            </w:tcBorders>
            <w:shd w:val="clear" w:color="auto" w:fill="auto"/>
            <w:hideMark/>
          </w:tcPr>
          <w:p w14:paraId="47F9AE5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Design each episode with a structured format that includes segments such as project updates, highlights from the week, interviews with team members or collaborators, listener Q&amp;A sessions, and reflections on challenges and successes.</w:t>
            </w:r>
          </w:p>
        </w:tc>
        <w:tc>
          <w:tcPr>
            <w:tcW w:w="2566" w:type="dxa"/>
            <w:tcBorders>
              <w:top w:val="nil"/>
              <w:left w:val="nil"/>
              <w:bottom w:val="single" w:sz="4" w:space="0" w:color="auto"/>
              <w:right w:val="single" w:sz="4" w:space="0" w:color="auto"/>
            </w:tcBorders>
            <w:shd w:val="clear" w:color="auto" w:fill="auto"/>
            <w:hideMark/>
          </w:tcPr>
          <w:p w14:paraId="50A20A6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89AF3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2A88D5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43D21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Narrative Storytelling: </w:t>
            </w:r>
          </w:p>
        </w:tc>
        <w:tc>
          <w:tcPr>
            <w:tcW w:w="6762" w:type="dxa"/>
            <w:tcBorders>
              <w:top w:val="nil"/>
              <w:left w:val="nil"/>
              <w:bottom w:val="single" w:sz="4" w:space="0" w:color="auto"/>
              <w:right w:val="single" w:sz="4" w:space="0" w:color="auto"/>
            </w:tcBorders>
            <w:shd w:val="clear" w:color="auto" w:fill="auto"/>
            <w:hideMark/>
          </w:tcPr>
          <w:p w14:paraId="0FDED9A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Use storytelling techniques to weave together narratives that capture the essence of the project, its mission, goals, and impact. Incorporate anecdotes, personal stories, and testimonials to evoke emotion and connect with listeners on a deeper level.</w:t>
            </w:r>
          </w:p>
        </w:tc>
        <w:tc>
          <w:tcPr>
            <w:tcW w:w="2566" w:type="dxa"/>
            <w:tcBorders>
              <w:top w:val="nil"/>
              <w:left w:val="nil"/>
              <w:bottom w:val="single" w:sz="4" w:space="0" w:color="auto"/>
              <w:right w:val="single" w:sz="4" w:space="0" w:color="auto"/>
            </w:tcBorders>
            <w:shd w:val="clear" w:color="auto" w:fill="auto"/>
            <w:hideMark/>
          </w:tcPr>
          <w:p w14:paraId="7351933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35224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C13FC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CA3EF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Guest Interviews: </w:t>
            </w:r>
          </w:p>
        </w:tc>
        <w:tc>
          <w:tcPr>
            <w:tcW w:w="6762" w:type="dxa"/>
            <w:tcBorders>
              <w:top w:val="nil"/>
              <w:left w:val="nil"/>
              <w:bottom w:val="single" w:sz="4" w:space="0" w:color="auto"/>
              <w:right w:val="single" w:sz="4" w:space="0" w:color="auto"/>
            </w:tcBorders>
            <w:shd w:val="clear" w:color="auto" w:fill="auto"/>
            <w:hideMark/>
          </w:tcPr>
          <w:p w14:paraId="6ADF929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Invite team members, collaborators, industry experts, and supporters to share their perspectives, insights, and experiences related to the project. Conduct in-depth interviews that offer valuable insights and add credibility to the campaign.</w:t>
            </w:r>
          </w:p>
        </w:tc>
        <w:tc>
          <w:tcPr>
            <w:tcW w:w="2566" w:type="dxa"/>
            <w:tcBorders>
              <w:top w:val="nil"/>
              <w:left w:val="nil"/>
              <w:bottom w:val="single" w:sz="4" w:space="0" w:color="auto"/>
              <w:right w:val="single" w:sz="4" w:space="0" w:color="auto"/>
            </w:tcBorders>
            <w:shd w:val="clear" w:color="auto" w:fill="auto"/>
            <w:hideMark/>
          </w:tcPr>
          <w:p w14:paraId="1E071E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030E7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B717B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90393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Production and Distribution:</w:t>
            </w:r>
          </w:p>
        </w:tc>
        <w:tc>
          <w:tcPr>
            <w:tcW w:w="6762" w:type="dxa"/>
            <w:tcBorders>
              <w:top w:val="nil"/>
              <w:left w:val="nil"/>
              <w:bottom w:val="single" w:sz="4" w:space="0" w:color="auto"/>
              <w:right w:val="single" w:sz="4" w:space="0" w:color="auto"/>
            </w:tcBorders>
            <w:shd w:val="clear" w:color="auto" w:fill="auto"/>
            <w:hideMark/>
          </w:tcPr>
          <w:p w14:paraId="16EF6C6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1DEC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441F5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4F16E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2E07F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Professional Production: </w:t>
            </w:r>
          </w:p>
        </w:tc>
        <w:tc>
          <w:tcPr>
            <w:tcW w:w="6762" w:type="dxa"/>
            <w:tcBorders>
              <w:top w:val="nil"/>
              <w:left w:val="nil"/>
              <w:bottom w:val="single" w:sz="4" w:space="0" w:color="auto"/>
              <w:right w:val="single" w:sz="4" w:space="0" w:color="auto"/>
            </w:tcBorders>
            <w:shd w:val="clear" w:color="auto" w:fill="auto"/>
            <w:hideMark/>
          </w:tcPr>
          <w:p w14:paraId="1EF5429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Ensure high-quality production standards for the podcast, including clear audio, professional editing, and engaging content delivery. Invest in quality recording equipment, editing software, and sound engineering to create a polished and professional podcast.</w:t>
            </w:r>
          </w:p>
        </w:tc>
        <w:tc>
          <w:tcPr>
            <w:tcW w:w="2566" w:type="dxa"/>
            <w:tcBorders>
              <w:top w:val="nil"/>
              <w:left w:val="nil"/>
              <w:bottom w:val="single" w:sz="4" w:space="0" w:color="auto"/>
              <w:right w:val="single" w:sz="4" w:space="0" w:color="auto"/>
            </w:tcBorders>
            <w:shd w:val="clear" w:color="auto" w:fill="auto"/>
            <w:hideMark/>
          </w:tcPr>
          <w:p w14:paraId="420942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0A160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87304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808FD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Consistent Schedule: </w:t>
            </w:r>
          </w:p>
        </w:tc>
        <w:tc>
          <w:tcPr>
            <w:tcW w:w="6762" w:type="dxa"/>
            <w:tcBorders>
              <w:top w:val="nil"/>
              <w:left w:val="nil"/>
              <w:bottom w:val="single" w:sz="4" w:space="0" w:color="auto"/>
              <w:right w:val="single" w:sz="4" w:space="0" w:color="auto"/>
            </w:tcBorders>
            <w:shd w:val="clear" w:color="auto" w:fill="auto"/>
            <w:hideMark/>
          </w:tcPr>
          <w:p w14:paraId="221A45A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Establish a regular schedule for releasing podcast episodes, such as weekly or bi-weekly, to maintain listener engagement and anticipation. Consistency in publishing helps build a loyal audience and keeps backers informed about the project's progress.</w:t>
            </w:r>
          </w:p>
        </w:tc>
        <w:tc>
          <w:tcPr>
            <w:tcW w:w="2566" w:type="dxa"/>
            <w:tcBorders>
              <w:top w:val="nil"/>
              <w:left w:val="nil"/>
              <w:bottom w:val="single" w:sz="4" w:space="0" w:color="auto"/>
              <w:right w:val="single" w:sz="4" w:space="0" w:color="auto"/>
            </w:tcBorders>
            <w:shd w:val="clear" w:color="auto" w:fill="auto"/>
            <w:hideMark/>
          </w:tcPr>
          <w:p w14:paraId="64EEF3C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5AC29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3FB8EA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9CE93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Distribution Channels: </w:t>
            </w:r>
          </w:p>
        </w:tc>
        <w:tc>
          <w:tcPr>
            <w:tcW w:w="6762" w:type="dxa"/>
            <w:tcBorders>
              <w:top w:val="nil"/>
              <w:left w:val="nil"/>
              <w:bottom w:val="single" w:sz="4" w:space="0" w:color="auto"/>
              <w:right w:val="single" w:sz="4" w:space="0" w:color="auto"/>
            </w:tcBorders>
            <w:shd w:val="clear" w:color="auto" w:fill="auto"/>
            <w:hideMark/>
          </w:tcPr>
          <w:p w14:paraId="12AC04E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Publish podcast episodes on popular platforms such as Spotify, Apple Podcasts, Google Podcasts, Stitcher, and SoundCloud to maximize reach and accessibility. Promote the podcast across social media channels, email newsletters, and campaign updates to attract listeners and potential backers.</w:t>
            </w:r>
          </w:p>
        </w:tc>
        <w:tc>
          <w:tcPr>
            <w:tcW w:w="2566" w:type="dxa"/>
            <w:tcBorders>
              <w:top w:val="nil"/>
              <w:left w:val="nil"/>
              <w:bottom w:val="single" w:sz="4" w:space="0" w:color="auto"/>
              <w:right w:val="single" w:sz="4" w:space="0" w:color="auto"/>
            </w:tcBorders>
            <w:shd w:val="clear" w:color="auto" w:fill="auto"/>
            <w:hideMark/>
          </w:tcPr>
          <w:p w14:paraId="6C44D9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D4200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CE75E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2E24F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Engagement and Interaction:</w:t>
            </w:r>
          </w:p>
        </w:tc>
        <w:tc>
          <w:tcPr>
            <w:tcW w:w="6762" w:type="dxa"/>
            <w:tcBorders>
              <w:top w:val="nil"/>
              <w:left w:val="nil"/>
              <w:bottom w:val="single" w:sz="4" w:space="0" w:color="auto"/>
              <w:right w:val="single" w:sz="4" w:space="0" w:color="auto"/>
            </w:tcBorders>
            <w:shd w:val="clear" w:color="auto" w:fill="auto"/>
            <w:hideMark/>
          </w:tcPr>
          <w:p w14:paraId="6C4DD14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0637D8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828ED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BDD80E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A7671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Listener Participation: </w:t>
            </w:r>
          </w:p>
        </w:tc>
        <w:tc>
          <w:tcPr>
            <w:tcW w:w="6762" w:type="dxa"/>
            <w:tcBorders>
              <w:top w:val="nil"/>
              <w:left w:val="nil"/>
              <w:bottom w:val="single" w:sz="4" w:space="0" w:color="auto"/>
              <w:right w:val="single" w:sz="4" w:space="0" w:color="auto"/>
            </w:tcBorders>
            <w:shd w:val="clear" w:color="auto" w:fill="auto"/>
            <w:hideMark/>
          </w:tcPr>
          <w:p w14:paraId="602A950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Encourage listener participation and engagement by soliciting questions, feedback, and suggestions for future podcast topics. Incorporate listener-submitted content, questions, or testimonials into podcast episodes to foster a sense of community and involvement.</w:t>
            </w:r>
          </w:p>
        </w:tc>
        <w:tc>
          <w:tcPr>
            <w:tcW w:w="2566" w:type="dxa"/>
            <w:tcBorders>
              <w:top w:val="nil"/>
              <w:left w:val="nil"/>
              <w:bottom w:val="single" w:sz="4" w:space="0" w:color="auto"/>
              <w:right w:val="single" w:sz="4" w:space="0" w:color="auto"/>
            </w:tcBorders>
            <w:shd w:val="clear" w:color="auto" w:fill="auto"/>
            <w:hideMark/>
          </w:tcPr>
          <w:p w14:paraId="5CA405E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225DB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AAF6D0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F5AC7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Elements: </w:t>
            </w:r>
          </w:p>
        </w:tc>
        <w:tc>
          <w:tcPr>
            <w:tcW w:w="6762" w:type="dxa"/>
            <w:tcBorders>
              <w:top w:val="nil"/>
              <w:left w:val="nil"/>
              <w:bottom w:val="single" w:sz="4" w:space="0" w:color="auto"/>
              <w:right w:val="single" w:sz="4" w:space="0" w:color="auto"/>
            </w:tcBorders>
            <w:shd w:val="clear" w:color="auto" w:fill="auto"/>
            <w:hideMark/>
          </w:tcPr>
          <w:p w14:paraId="09E5F05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Introduce interactive elements such as polls, quizzes, or contests within podcast episodes to incentivize listener engagement and interaction. Provide opportunities for listeners to interact with the podcast content in meaningful ways and feel like active participants in the campaign.</w:t>
            </w:r>
          </w:p>
        </w:tc>
        <w:tc>
          <w:tcPr>
            <w:tcW w:w="2566" w:type="dxa"/>
            <w:tcBorders>
              <w:top w:val="nil"/>
              <w:left w:val="nil"/>
              <w:bottom w:val="single" w:sz="4" w:space="0" w:color="auto"/>
              <w:right w:val="single" w:sz="4" w:space="0" w:color="auto"/>
            </w:tcBorders>
            <w:shd w:val="clear" w:color="auto" w:fill="auto"/>
            <w:hideMark/>
          </w:tcPr>
          <w:p w14:paraId="5541889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1AB02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77283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3E251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Loop: </w:t>
            </w:r>
          </w:p>
        </w:tc>
        <w:tc>
          <w:tcPr>
            <w:tcW w:w="6762" w:type="dxa"/>
            <w:tcBorders>
              <w:top w:val="nil"/>
              <w:left w:val="nil"/>
              <w:bottom w:val="single" w:sz="4" w:space="0" w:color="auto"/>
              <w:right w:val="single" w:sz="4" w:space="0" w:color="auto"/>
            </w:tcBorders>
            <w:shd w:val="clear" w:color="auto" w:fill="auto"/>
            <w:hideMark/>
          </w:tcPr>
          <w:p w14:paraId="2E22260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Establish a feedback loop where listeners can provide feedback, comments, or reviews on podcast episodes. Monitor listener feedback and adjust the podcast format, content, or delivery based on audience preferences and suggestions.</w:t>
            </w:r>
          </w:p>
        </w:tc>
        <w:tc>
          <w:tcPr>
            <w:tcW w:w="2566" w:type="dxa"/>
            <w:tcBorders>
              <w:top w:val="nil"/>
              <w:left w:val="nil"/>
              <w:bottom w:val="single" w:sz="4" w:space="0" w:color="auto"/>
              <w:right w:val="single" w:sz="4" w:space="0" w:color="auto"/>
            </w:tcBorders>
            <w:shd w:val="clear" w:color="auto" w:fill="auto"/>
            <w:hideMark/>
          </w:tcPr>
          <w:p w14:paraId="6F1963E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C11FE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E549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37D7B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Promotion and Marketing:</w:t>
            </w:r>
          </w:p>
        </w:tc>
        <w:tc>
          <w:tcPr>
            <w:tcW w:w="6762" w:type="dxa"/>
            <w:tcBorders>
              <w:top w:val="nil"/>
              <w:left w:val="nil"/>
              <w:bottom w:val="single" w:sz="4" w:space="0" w:color="auto"/>
              <w:right w:val="single" w:sz="4" w:space="0" w:color="auto"/>
            </w:tcBorders>
            <w:shd w:val="clear" w:color="auto" w:fill="auto"/>
            <w:hideMark/>
          </w:tcPr>
          <w:p w14:paraId="4A5C766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8373A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E764C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0F2C00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BDD33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Cross-Promotion: </w:t>
            </w:r>
          </w:p>
        </w:tc>
        <w:tc>
          <w:tcPr>
            <w:tcW w:w="6762" w:type="dxa"/>
            <w:tcBorders>
              <w:top w:val="nil"/>
              <w:left w:val="nil"/>
              <w:bottom w:val="single" w:sz="4" w:space="0" w:color="auto"/>
              <w:right w:val="single" w:sz="4" w:space="0" w:color="auto"/>
            </w:tcBorders>
            <w:shd w:val="clear" w:color="auto" w:fill="auto"/>
            <w:hideMark/>
          </w:tcPr>
          <w:p w14:paraId="1C5BC1F0"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Collaborate with influencers, industry experts, and relevant organizations to cross-promote the podcast and expand its reach to new audiences. Guest appearances on other podcasts or guest blog posts can help attract new listeners and potential backers to the campaign.</w:t>
            </w:r>
          </w:p>
        </w:tc>
        <w:tc>
          <w:tcPr>
            <w:tcW w:w="2566" w:type="dxa"/>
            <w:tcBorders>
              <w:top w:val="nil"/>
              <w:left w:val="nil"/>
              <w:bottom w:val="single" w:sz="4" w:space="0" w:color="auto"/>
              <w:right w:val="single" w:sz="4" w:space="0" w:color="auto"/>
            </w:tcBorders>
            <w:shd w:val="clear" w:color="auto" w:fill="auto"/>
            <w:hideMark/>
          </w:tcPr>
          <w:p w14:paraId="072BE4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C5E32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D11A95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9B3FC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Social Media Promotion: </w:t>
            </w:r>
          </w:p>
        </w:tc>
        <w:tc>
          <w:tcPr>
            <w:tcW w:w="6762" w:type="dxa"/>
            <w:tcBorders>
              <w:top w:val="nil"/>
              <w:left w:val="nil"/>
              <w:bottom w:val="single" w:sz="4" w:space="0" w:color="auto"/>
              <w:right w:val="single" w:sz="4" w:space="0" w:color="auto"/>
            </w:tcBorders>
            <w:shd w:val="clear" w:color="auto" w:fill="auto"/>
            <w:hideMark/>
          </w:tcPr>
          <w:p w14:paraId="43EAC42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Leverage social media platforms to promote podcast episodes, share behind-the-scenes content, and engage with listeners in real-time. Create dedicated social media posts, stories, or live streams to drive traffic to podcast episodes and encourage sharing among followers.</w:t>
            </w:r>
          </w:p>
        </w:tc>
        <w:tc>
          <w:tcPr>
            <w:tcW w:w="2566" w:type="dxa"/>
            <w:tcBorders>
              <w:top w:val="nil"/>
              <w:left w:val="nil"/>
              <w:bottom w:val="single" w:sz="4" w:space="0" w:color="auto"/>
              <w:right w:val="single" w:sz="4" w:space="0" w:color="auto"/>
            </w:tcBorders>
            <w:shd w:val="clear" w:color="auto" w:fill="auto"/>
            <w:hideMark/>
          </w:tcPr>
          <w:p w14:paraId="207501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B9667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9A866D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7D78B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Email Newsletter Integration: </w:t>
            </w:r>
          </w:p>
        </w:tc>
        <w:tc>
          <w:tcPr>
            <w:tcW w:w="6762" w:type="dxa"/>
            <w:tcBorders>
              <w:top w:val="nil"/>
              <w:left w:val="nil"/>
              <w:bottom w:val="single" w:sz="4" w:space="0" w:color="auto"/>
              <w:right w:val="single" w:sz="4" w:space="0" w:color="auto"/>
            </w:tcBorders>
            <w:shd w:val="clear" w:color="auto" w:fill="auto"/>
            <w:hideMark/>
          </w:tcPr>
          <w:p w14:paraId="248C793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Include links to podcast episodes in email newsletters sent to subscribers, along with brief summaries or highlights to entice recipients to listen. Incorporate the podcast as a regular feature in email communications to keep subscribers informed and engaged.</w:t>
            </w:r>
          </w:p>
        </w:tc>
        <w:tc>
          <w:tcPr>
            <w:tcW w:w="2566" w:type="dxa"/>
            <w:tcBorders>
              <w:top w:val="nil"/>
              <w:left w:val="nil"/>
              <w:bottom w:val="single" w:sz="4" w:space="0" w:color="auto"/>
              <w:right w:val="single" w:sz="4" w:space="0" w:color="auto"/>
            </w:tcBorders>
            <w:shd w:val="clear" w:color="auto" w:fill="auto"/>
            <w:hideMark/>
          </w:tcPr>
          <w:p w14:paraId="3C14101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A8FF2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B9DD57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1289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Podcast: </w:t>
            </w:r>
          </w:p>
        </w:tc>
        <w:tc>
          <w:tcPr>
            <w:tcW w:w="6762" w:type="dxa"/>
            <w:tcBorders>
              <w:top w:val="nil"/>
              <w:left w:val="nil"/>
              <w:bottom w:val="single" w:sz="4" w:space="0" w:color="auto"/>
              <w:right w:val="single" w:sz="4" w:space="0" w:color="auto"/>
            </w:tcBorders>
            <w:shd w:val="clear" w:color="auto" w:fill="auto"/>
            <w:hideMark/>
          </w:tcPr>
          <w:p w14:paraId="1F291CD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creating a Weekly Prime Radio podcast, the campaign can effectively communicate with potential backers in an engaging and immersive format, fostering a sense of connection, community, and excitement around the project's progress and goals.</w:t>
            </w:r>
          </w:p>
        </w:tc>
        <w:tc>
          <w:tcPr>
            <w:tcW w:w="2566" w:type="dxa"/>
            <w:tcBorders>
              <w:top w:val="nil"/>
              <w:left w:val="nil"/>
              <w:bottom w:val="single" w:sz="4" w:space="0" w:color="auto"/>
              <w:right w:val="single" w:sz="4" w:space="0" w:color="auto"/>
            </w:tcBorders>
            <w:shd w:val="clear" w:color="auto" w:fill="auto"/>
            <w:hideMark/>
          </w:tcPr>
          <w:p w14:paraId="074553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0BF132" w14:textId="77777777" w:rsidTr="0041317E">
        <w:trPr>
          <w:trHeight w:val="1728"/>
        </w:trPr>
        <w:tc>
          <w:tcPr>
            <w:tcW w:w="1349" w:type="dxa"/>
            <w:tcBorders>
              <w:top w:val="nil"/>
              <w:left w:val="single" w:sz="4" w:space="0" w:color="auto"/>
              <w:bottom w:val="single" w:sz="4" w:space="0" w:color="auto"/>
              <w:right w:val="single" w:sz="4" w:space="0" w:color="auto"/>
            </w:tcBorders>
            <w:shd w:val="clear" w:color="auto" w:fill="auto"/>
            <w:hideMark/>
          </w:tcPr>
          <w:p w14:paraId="3352329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6AE0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Project Updates:</w:t>
            </w:r>
          </w:p>
        </w:tc>
        <w:tc>
          <w:tcPr>
            <w:tcW w:w="6762" w:type="dxa"/>
            <w:tcBorders>
              <w:top w:val="nil"/>
              <w:left w:val="nil"/>
              <w:bottom w:val="single" w:sz="4" w:space="0" w:color="auto"/>
              <w:right w:val="single" w:sz="4" w:space="0" w:color="auto"/>
            </w:tcBorders>
            <w:shd w:val="clear" w:color="auto" w:fill="auto"/>
            <w:hideMark/>
          </w:tcPr>
          <w:p w14:paraId="6645E42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 Solicit feedback, questions, and suggestions from backers to foster a sense of community and collaboration.</w:t>
            </w:r>
          </w:p>
        </w:tc>
        <w:tc>
          <w:tcPr>
            <w:tcW w:w="2566" w:type="dxa"/>
            <w:tcBorders>
              <w:top w:val="nil"/>
              <w:left w:val="nil"/>
              <w:bottom w:val="single" w:sz="4" w:space="0" w:color="auto"/>
              <w:right w:val="single" w:sz="4" w:space="0" w:color="auto"/>
            </w:tcBorders>
            <w:shd w:val="clear" w:color="auto" w:fill="auto"/>
            <w:hideMark/>
          </w:tcPr>
          <w:p w14:paraId="224DDC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xml:space="preserve">Within PrimeBookOne App give thanks for asisting the prime endeavor.  Create a board of all comments that all can look at and have access to. </w:t>
            </w:r>
          </w:p>
        </w:tc>
      </w:tr>
      <w:tr w:rsidR="0041317E" w:rsidRPr="0041317E" w14:paraId="09E660C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530C5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281E9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29D8EE"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Soliciting feedback, questions, and suggestions from backers is a crucial aspect of fostering a sense of community and collaboration throughout the campaign. Here's an extensive breakdown of how this strategy can be implemented effectively:</w:t>
            </w:r>
          </w:p>
        </w:tc>
        <w:tc>
          <w:tcPr>
            <w:tcW w:w="2566" w:type="dxa"/>
            <w:tcBorders>
              <w:top w:val="nil"/>
              <w:left w:val="nil"/>
              <w:bottom w:val="single" w:sz="4" w:space="0" w:color="auto"/>
              <w:right w:val="single" w:sz="4" w:space="0" w:color="auto"/>
            </w:tcBorders>
            <w:shd w:val="clear" w:color="auto" w:fill="auto"/>
            <w:hideMark/>
          </w:tcPr>
          <w:p w14:paraId="1973C8A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4D115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61A7F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A0756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Feedback Collection:</w:t>
            </w:r>
          </w:p>
        </w:tc>
        <w:tc>
          <w:tcPr>
            <w:tcW w:w="6762" w:type="dxa"/>
            <w:tcBorders>
              <w:top w:val="nil"/>
              <w:left w:val="nil"/>
              <w:bottom w:val="single" w:sz="4" w:space="0" w:color="auto"/>
              <w:right w:val="single" w:sz="4" w:space="0" w:color="auto"/>
            </w:tcBorders>
            <w:shd w:val="clear" w:color="auto" w:fill="auto"/>
            <w:hideMark/>
          </w:tcPr>
          <w:p w14:paraId="23C49F5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92101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6915E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19F3A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9BEE2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Dedicated Channels: </w:t>
            </w:r>
          </w:p>
        </w:tc>
        <w:tc>
          <w:tcPr>
            <w:tcW w:w="6762" w:type="dxa"/>
            <w:tcBorders>
              <w:top w:val="nil"/>
              <w:left w:val="nil"/>
              <w:bottom w:val="single" w:sz="4" w:space="0" w:color="auto"/>
              <w:right w:val="single" w:sz="4" w:space="0" w:color="auto"/>
            </w:tcBorders>
            <w:shd w:val="clear" w:color="auto" w:fill="auto"/>
            <w:hideMark/>
          </w:tcPr>
          <w:p w14:paraId="2D0BEAB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multiple channels for backers to submit their feedback, questions, and suggestions, including email, social media platforms, a designated section on the campaign website, and within the PrimeBookOne app.</w:t>
            </w:r>
          </w:p>
        </w:tc>
        <w:tc>
          <w:tcPr>
            <w:tcW w:w="2566" w:type="dxa"/>
            <w:tcBorders>
              <w:top w:val="nil"/>
              <w:left w:val="nil"/>
              <w:bottom w:val="single" w:sz="4" w:space="0" w:color="auto"/>
              <w:right w:val="single" w:sz="4" w:space="0" w:color="auto"/>
            </w:tcBorders>
            <w:shd w:val="clear" w:color="auto" w:fill="auto"/>
            <w:hideMark/>
          </w:tcPr>
          <w:p w14:paraId="3D38503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31887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E794D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A99A7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Forms: </w:t>
            </w:r>
          </w:p>
        </w:tc>
        <w:tc>
          <w:tcPr>
            <w:tcW w:w="6762" w:type="dxa"/>
            <w:tcBorders>
              <w:top w:val="nil"/>
              <w:left w:val="nil"/>
              <w:bottom w:val="single" w:sz="4" w:space="0" w:color="auto"/>
              <w:right w:val="single" w:sz="4" w:space="0" w:color="auto"/>
            </w:tcBorders>
            <w:shd w:val="clear" w:color="auto" w:fill="auto"/>
            <w:hideMark/>
          </w:tcPr>
          <w:p w14:paraId="5B98AD6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user-friendly feedback forms or surveys that backers can easily fill out to share their thoughts and ideas. Include open-ended questions to encourage detailed responses and allow backers to express themselves freely.</w:t>
            </w:r>
          </w:p>
        </w:tc>
        <w:tc>
          <w:tcPr>
            <w:tcW w:w="2566" w:type="dxa"/>
            <w:tcBorders>
              <w:top w:val="nil"/>
              <w:left w:val="nil"/>
              <w:bottom w:val="single" w:sz="4" w:space="0" w:color="auto"/>
              <w:right w:val="single" w:sz="4" w:space="0" w:color="auto"/>
            </w:tcBorders>
            <w:shd w:val="clear" w:color="auto" w:fill="auto"/>
            <w:hideMark/>
          </w:tcPr>
          <w:p w14:paraId="0B4092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5DB76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24D57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11B0C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Regular Check-ins: </w:t>
            </w:r>
          </w:p>
        </w:tc>
        <w:tc>
          <w:tcPr>
            <w:tcW w:w="6762" w:type="dxa"/>
            <w:tcBorders>
              <w:top w:val="nil"/>
              <w:left w:val="nil"/>
              <w:bottom w:val="single" w:sz="4" w:space="0" w:color="auto"/>
              <w:right w:val="single" w:sz="4" w:space="0" w:color="auto"/>
            </w:tcBorders>
            <w:shd w:val="clear" w:color="auto" w:fill="auto"/>
            <w:hideMark/>
          </w:tcPr>
          <w:p w14:paraId="4DB732A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Schedule regular check-ins with backers through email newsletters or social media posts to remind them to provide feedback and engage with the project. Encourage backers to share their opinions on project updates, rewards, and any challenges or concerns they may have.</w:t>
            </w:r>
          </w:p>
        </w:tc>
        <w:tc>
          <w:tcPr>
            <w:tcW w:w="2566" w:type="dxa"/>
            <w:tcBorders>
              <w:top w:val="nil"/>
              <w:left w:val="nil"/>
              <w:bottom w:val="single" w:sz="4" w:space="0" w:color="auto"/>
              <w:right w:val="single" w:sz="4" w:space="0" w:color="auto"/>
            </w:tcBorders>
            <w:shd w:val="clear" w:color="auto" w:fill="auto"/>
            <w:hideMark/>
          </w:tcPr>
          <w:p w14:paraId="081E4C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0C26A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F5124A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F83D1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Community Engagement:</w:t>
            </w:r>
          </w:p>
        </w:tc>
        <w:tc>
          <w:tcPr>
            <w:tcW w:w="6762" w:type="dxa"/>
            <w:tcBorders>
              <w:top w:val="nil"/>
              <w:left w:val="nil"/>
              <w:bottom w:val="single" w:sz="4" w:space="0" w:color="auto"/>
              <w:right w:val="single" w:sz="4" w:space="0" w:color="auto"/>
            </w:tcBorders>
            <w:shd w:val="clear" w:color="auto" w:fill="auto"/>
            <w:hideMark/>
          </w:tcPr>
          <w:p w14:paraId="3C4D539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8C50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BDE3A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C326F7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EAE99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Discussions: </w:t>
            </w:r>
          </w:p>
        </w:tc>
        <w:tc>
          <w:tcPr>
            <w:tcW w:w="6762" w:type="dxa"/>
            <w:tcBorders>
              <w:top w:val="nil"/>
              <w:left w:val="nil"/>
              <w:bottom w:val="single" w:sz="4" w:space="0" w:color="auto"/>
              <w:right w:val="single" w:sz="4" w:space="0" w:color="auto"/>
            </w:tcBorders>
            <w:shd w:val="clear" w:color="auto" w:fill="auto"/>
            <w:hideMark/>
          </w:tcPr>
          <w:p w14:paraId="000F4881"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Host live Q&amp;A sessions, webinars, or virtual meetups where backers can interact with the project team, ask questions, and share their feedback in real-time. Use platforms like Zoom, Twitch, or Facebook Live to facilitate these interactive discussions.</w:t>
            </w:r>
          </w:p>
        </w:tc>
        <w:tc>
          <w:tcPr>
            <w:tcW w:w="2566" w:type="dxa"/>
            <w:tcBorders>
              <w:top w:val="nil"/>
              <w:left w:val="nil"/>
              <w:bottom w:val="single" w:sz="4" w:space="0" w:color="auto"/>
              <w:right w:val="single" w:sz="4" w:space="0" w:color="auto"/>
            </w:tcBorders>
            <w:shd w:val="clear" w:color="auto" w:fill="auto"/>
            <w:hideMark/>
          </w:tcPr>
          <w:p w14:paraId="655D34C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87D70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6D331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19C9B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Backer Forums: </w:t>
            </w:r>
          </w:p>
        </w:tc>
        <w:tc>
          <w:tcPr>
            <w:tcW w:w="6762" w:type="dxa"/>
            <w:tcBorders>
              <w:top w:val="nil"/>
              <w:left w:val="nil"/>
              <w:bottom w:val="single" w:sz="4" w:space="0" w:color="auto"/>
              <w:right w:val="single" w:sz="4" w:space="0" w:color="auto"/>
            </w:tcBorders>
            <w:shd w:val="clear" w:color="auto" w:fill="auto"/>
            <w:hideMark/>
          </w:tcPr>
          <w:p w14:paraId="2B5CB199"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Create an online forum or discussion board specifically for backers to connect with each other, share ideas, and discuss project-related topics. Actively monitor and participate in these forums to foster a sense of community and ensure that all voices are heard.</w:t>
            </w:r>
          </w:p>
        </w:tc>
        <w:tc>
          <w:tcPr>
            <w:tcW w:w="2566" w:type="dxa"/>
            <w:tcBorders>
              <w:top w:val="nil"/>
              <w:left w:val="nil"/>
              <w:bottom w:val="single" w:sz="4" w:space="0" w:color="auto"/>
              <w:right w:val="single" w:sz="4" w:space="0" w:color="auto"/>
            </w:tcBorders>
            <w:shd w:val="clear" w:color="auto" w:fill="auto"/>
            <w:hideMark/>
          </w:tcPr>
          <w:p w14:paraId="1E1609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55B12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C5068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D8255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Events: </w:t>
            </w:r>
          </w:p>
        </w:tc>
        <w:tc>
          <w:tcPr>
            <w:tcW w:w="6762" w:type="dxa"/>
            <w:tcBorders>
              <w:top w:val="nil"/>
              <w:left w:val="nil"/>
              <w:bottom w:val="single" w:sz="4" w:space="0" w:color="auto"/>
              <w:right w:val="single" w:sz="4" w:space="0" w:color="auto"/>
            </w:tcBorders>
            <w:shd w:val="clear" w:color="auto" w:fill="auto"/>
            <w:hideMark/>
          </w:tcPr>
          <w:p w14:paraId="561CA73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Organize feedback events or focus groups where select backers can provide more in-depth feedback and suggestions. Offer incentives such as exclusive access to behind-the-scenes content or special rewards to encourage participation.</w:t>
            </w:r>
          </w:p>
        </w:tc>
        <w:tc>
          <w:tcPr>
            <w:tcW w:w="2566" w:type="dxa"/>
            <w:tcBorders>
              <w:top w:val="nil"/>
              <w:left w:val="nil"/>
              <w:bottom w:val="single" w:sz="4" w:space="0" w:color="auto"/>
              <w:right w:val="single" w:sz="4" w:space="0" w:color="auto"/>
            </w:tcBorders>
            <w:shd w:val="clear" w:color="auto" w:fill="auto"/>
            <w:hideMark/>
          </w:tcPr>
          <w:p w14:paraId="2447961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D5928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77A9D0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E710A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Transparency and Accountability:</w:t>
            </w:r>
          </w:p>
        </w:tc>
        <w:tc>
          <w:tcPr>
            <w:tcW w:w="6762" w:type="dxa"/>
            <w:tcBorders>
              <w:top w:val="nil"/>
              <w:left w:val="nil"/>
              <w:bottom w:val="single" w:sz="4" w:space="0" w:color="auto"/>
              <w:right w:val="single" w:sz="4" w:space="0" w:color="auto"/>
            </w:tcBorders>
            <w:shd w:val="clear" w:color="auto" w:fill="auto"/>
            <w:hideMark/>
          </w:tcPr>
          <w:p w14:paraId="1C769ADB"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D1F82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FF631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863B3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EB953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Transparent Communication: </w:t>
            </w:r>
          </w:p>
        </w:tc>
        <w:tc>
          <w:tcPr>
            <w:tcW w:w="6762" w:type="dxa"/>
            <w:tcBorders>
              <w:top w:val="nil"/>
              <w:left w:val="nil"/>
              <w:bottom w:val="single" w:sz="4" w:space="0" w:color="auto"/>
              <w:right w:val="single" w:sz="4" w:space="0" w:color="auto"/>
            </w:tcBorders>
            <w:shd w:val="clear" w:color="auto" w:fill="auto"/>
            <w:hideMark/>
          </w:tcPr>
          <w:p w14:paraId="1FC74D8C"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Keep backers informed about how their feedback is being used and implemented by providing regular updates on the project's progress. Be transparent about any changes or decisions made based on backer feedback, demonstrating a commitment to collaboration and accountability.</w:t>
            </w:r>
          </w:p>
        </w:tc>
        <w:tc>
          <w:tcPr>
            <w:tcW w:w="2566" w:type="dxa"/>
            <w:tcBorders>
              <w:top w:val="nil"/>
              <w:left w:val="nil"/>
              <w:bottom w:val="single" w:sz="4" w:space="0" w:color="auto"/>
              <w:right w:val="single" w:sz="4" w:space="0" w:color="auto"/>
            </w:tcBorders>
            <w:shd w:val="clear" w:color="auto" w:fill="auto"/>
            <w:hideMark/>
          </w:tcPr>
          <w:p w14:paraId="3BF6B80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119E8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A88AB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158D8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Acknowledgment: </w:t>
            </w:r>
          </w:p>
        </w:tc>
        <w:tc>
          <w:tcPr>
            <w:tcW w:w="6762" w:type="dxa"/>
            <w:tcBorders>
              <w:top w:val="nil"/>
              <w:left w:val="nil"/>
              <w:bottom w:val="single" w:sz="4" w:space="0" w:color="auto"/>
              <w:right w:val="single" w:sz="4" w:space="0" w:color="auto"/>
            </w:tcBorders>
            <w:shd w:val="clear" w:color="auto" w:fill="auto"/>
            <w:hideMark/>
          </w:tcPr>
          <w:p w14:paraId="3DE23833"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Acknowledge and appreciate backers who provide valuable feedback by giving them public recognition in project updates, newsletters, or social media posts. Highlight specific feedback that has led to positive changes or improvements in the project.</w:t>
            </w:r>
          </w:p>
        </w:tc>
        <w:tc>
          <w:tcPr>
            <w:tcW w:w="2566" w:type="dxa"/>
            <w:tcBorders>
              <w:top w:val="nil"/>
              <w:left w:val="nil"/>
              <w:bottom w:val="single" w:sz="4" w:space="0" w:color="auto"/>
              <w:right w:val="single" w:sz="4" w:space="0" w:color="auto"/>
            </w:tcBorders>
            <w:shd w:val="clear" w:color="auto" w:fill="auto"/>
            <w:hideMark/>
          </w:tcPr>
          <w:p w14:paraId="2A92C80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B0F9E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AFB419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0F04B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Reports: </w:t>
            </w:r>
          </w:p>
        </w:tc>
        <w:tc>
          <w:tcPr>
            <w:tcW w:w="6762" w:type="dxa"/>
            <w:tcBorders>
              <w:top w:val="nil"/>
              <w:left w:val="nil"/>
              <w:bottom w:val="single" w:sz="4" w:space="0" w:color="auto"/>
              <w:right w:val="single" w:sz="4" w:space="0" w:color="auto"/>
            </w:tcBorders>
            <w:shd w:val="clear" w:color="auto" w:fill="auto"/>
            <w:hideMark/>
          </w:tcPr>
          <w:p w14:paraId="4F3473F6"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Periodically compile feedback reports summarizing the key themes, insights, and suggestions received from backers. Share these reports with the community to demonstrate that their feedback is valued and taken seriously by the project team.</w:t>
            </w:r>
          </w:p>
        </w:tc>
        <w:tc>
          <w:tcPr>
            <w:tcW w:w="2566" w:type="dxa"/>
            <w:tcBorders>
              <w:top w:val="nil"/>
              <w:left w:val="nil"/>
              <w:bottom w:val="single" w:sz="4" w:space="0" w:color="auto"/>
              <w:right w:val="single" w:sz="4" w:space="0" w:color="auto"/>
            </w:tcBorders>
            <w:shd w:val="clear" w:color="auto" w:fill="auto"/>
            <w:hideMark/>
          </w:tcPr>
          <w:p w14:paraId="2A5186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437D5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470C0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A1722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Integration with PrimeBookOne App:</w:t>
            </w:r>
          </w:p>
        </w:tc>
        <w:tc>
          <w:tcPr>
            <w:tcW w:w="6762" w:type="dxa"/>
            <w:tcBorders>
              <w:top w:val="nil"/>
              <w:left w:val="nil"/>
              <w:bottom w:val="single" w:sz="4" w:space="0" w:color="auto"/>
              <w:right w:val="single" w:sz="4" w:space="0" w:color="auto"/>
            </w:tcBorders>
            <w:shd w:val="clear" w:color="auto" w:fill="auto"/>
            <w:hideMark/>
          </w:tcPr>
          <w:p w14:paraId="50A541C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ED9093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9D603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32C3DE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34FDC2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Section: </w:t>
            </w:r>
          </w:p>
        </w:tc>
        <w:tc>
          <w:tcPr>
            <w:tcW w:w="6762" w:type="dxa"/>
            <w:tcBorders>
              <w:top w:val="nil"/>
              <w:left w:val="nil"/>
              <w:bottom w:val="single" w:sz="4" w:space="0" w:color="auto"/>
              <w:right w:val="single" w:sz="4" w:space="0" w:color="auto"/>
            </w:tcBorders>
            <w:shd w:val="clear" w:color="auto" w:fill="auto"/>
            <w:hideMark/>
          </w:tcPr>
          <w:p w14:paraId="49BE7D9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Integrate a dedicated feedback section within the PrimeBookOne app where backers can submit their comments, questions, and suggestions directly from their mobile devices. Ensure that this feature is easily accessible and prominently displayed within the app interface.</w:t>
            </w:r>
          </w:p>
        </w:tc>
        <w:tc>
          <w:tcPr>
            <w:tcW w:w="2566" w:type="dxa"/>
            <w:tcBorders>
              <w:top w:val="nil"/>
              <w:left w:val="nil"/>
              <w:bottom w:val="single" w:sz="4" w:space="0" w:color="auto"/>
              <w:right w:val="single" w:sz="4" w:space="0" w:color="auto"/>
            </w:tcBorders>
            <w:shd w:val="clear" w:color="auto" w:fill="auto"/>
            <w:hideMark/>
          </w:tcPr>
          <w:p w14:paraId="2BE5027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F8641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F7FBEB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C3816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Features: </w:t>
            </w:r>
          </w:p>
        </w:tc>
        <w:tc>
          <w:tcPr>
            <w:tcW w:w="6762" w:type="dxa"/>
            <w:tcBorders>
              <w:top w:val="nil"/>
              <w:left w:val="nil"/>
              <w:bottom w:val="single" w:sz="4" w:space="0" w:color="auto"/>
              <w:right w:val="single" w:sz="4" w:space="0" w:color="auto"/>
            </w:tcBorders>
            <w:shd w:val="clear" w:color="auto" w:fill="auto"/>
            <w:hideMark/>
          </w:tcPr>
          <w:p w14:paraId="314895A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 interactive features within the app, such as voting polls or suggestion boxes, to encourage active participation from backers. Allow backers to vote on proposed features, suggest new ideas, or prioritize development tasks based on community feedback.</w:t>
            </w:r>
          </w:p>
        </w:tc>
        <w:tc>
          <w:tcPr>
            <w:tcW w:w="2566" w:type="dxa"/>
            <w:tcBorders>
              <w:top w:val="nil"/>
              <w:left w:val="nil"/>
              <w:bottom w:val="single" w:sz="4" w:space="0" w:color="auto"/>
              <w:right w:val="single" w:sz="4" w:space="0" w:color="auto"/>
            </w:tcBorders>
            <w:shd w:val="clear" w:color="auto" w:fill="auto"/>
            <w:hideMark/>
          </w:tcPr>
          <w:p w14:paraId="48A2E3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46D32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32568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23164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Real-Time Updates: </w:t>
            </w:r>
          </w:p>
        </w:tc>
        <w:tc>
          <w:tcPr>
            <w:tcW w:w="6762" w:type="dxa"/>
            <w:tcBorders>
              <w:top w:val="nil"/>
              <w:left w:val="nil"/>
              <w:bottom w:val="single" w:sz="4" w:space="0" w:color="auto"/>
              <w:right w:val="single" w:sz="4" w:space="0" w:color="auto"/>
            </w:tcBorders>
            <w:shd w:val="clear" w:color="auto" w:fill="auto"/>
            <w:hideMark/>
          </w:tcPr>
          <w:p w14:paraId="461A7A22"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Provide real-time updates and notifications within the app to keep backers informed about the status of their feedback submissions. Notify backers when their suggestions are being reviewed, implemented, or addressed by the project team.</w:t>
            </w:r>
          </w:p>
        </w:tc>
        <w:tc>
          <w:tcPr>
            <w:tcW w:w="2566" w:type="dxa"/>
            <w:tcBorders>
              <w:top w:val="nil"/>
              <w:left w:val="nil"/>
              <w:bottom w:val="single" w:sz="4" w:space="0" w:color="auto"/>
              <w:right w:val="single" w:sz="4" w:space="0" w:color="auto"/>
            </w:tcBorders>
            <w:shd w:val="clear" w:color="auto" w:fill="auto"/>
            <w:hideMark/>
          </w:tcPr>
          <w:p w14:paraId="00CC4A3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BA7C6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01E5B9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ACF43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Feedback: </w:t>
            </w:r>
          </w:p>
        </w:tc>
        <w:tc>
          <w:tcPr>
            <w:tcW w:w="6762" w:type="dxa"/>
            <w:tcBorders>
              <w:top w:val="nil"/>
              <w:left w:val="nil"/>
              <w:bottom w:val="single" w:sz="4" w:space="0" w:color="auto"/>
              <w:right w:val="single" w:sz="4" w:space="0" w:color="auto"/>
            </w:tcBorders>
            <w:shd w:val="clear" w:color="auto" w:fill="auto"/>
            <w:hideMark/>
          </w:tcPr>
          <w:p w14:paraId="4122CB6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soliciting feedback, questions, and suggestions from backers and integrating these practices within the PrimeBookOne app, the campaign can create a collaborative and inclusive environment where backers feel valued, engaged, and invested in the project's success.</w:t>
            </w:r>
          </w:p>
        </w:tc>
        <w:tc>
          <w:tcPr>
            <w:tcW w:w="2566" w:type="dxa"/>
            <w:tcBorders>
              <w:top w:val="nil"/>
              <w:left w:val="nil"/>
              <w:bottom w:val="single" w:sz="4" w:space="0" w:color="auto"/>
              <w:right w:val="single" w:sz="4" w:space="0" w:color="auto"/>
            </w:tcBorders>
            <w:shd w:val="clear" w:color="auto" w:fill="auto"/>
            <w:hideMark/>
          </w:tcPr>
          <w:p w14:paraId="6EE344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E3B09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043A5E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3F8B7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Engagement and Interaction:</w:t>
            </w:r>
          </w:p>
        </w:tc>
        <w:tc>
          <w:tcPr>
            <w:tcW w:w="6762" w:type="dxa"/>
            <w:tcBorders>
              <w:top w:val="nil"/>
              <w:left w:val="nil"/>
              <w:bottom w:val="single" w:sz="4" w:space="0" w:color="auto"/>
              <w:right w:val="single" w:sz="4" w:space="0" w:color="auto"/>
            </w:tcBorders>
            <w:shd w:val="clear" w:color="auto" w:fill="auto"/>
            <w:hideMark/>
          </w:tcPr>
          <w:p w14:paraId="76D74A0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Provide regular updates on the project's progress, achievements, challenges, and milestones reached throughout the campaign.</w:t>
            </w:r>
          </w:p>
        </w:tc>
        <w:tc>
          <w:tcPr>
            <w:tcW w:w="2566" w:type="dxa"/>
            <w:tcBorders>
              <w:top w:val="nil"/>
              <w:left w:val="nil"/>
              <w:bottom w:val="single" w:sz="4" w:space="0" w:color="auto"/>
              <w:right w:val="single" w:sz="4" w:space="0" w:color="auto"/>
            </w:tcBorders>
            <w:shd w:val="clear" w:color="auto" w:fill="auto"/>
            <w:hideMark/>
          </w:tcPr>
          <w:p w14:paraId="3C4090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"the Prime Times"</w:t>
            </w:r>
          </w:p>
        </w:tc>
      </w:tr>
      <w:tr w:rsidR="0041317E" w:rsidRPr="0041317E" w14:paraId="5ECB957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0FB92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2DA1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A85B14"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Regular updates on the project's progress, achievements, challenges, and milestones reached throughout the campaign are vital for keeping potential backers engaged and informed. Here's an extensive plan for how to execute this:</w:t>
            </w:r>
          </w:p>
        </w:tc>
        <w:tc>
          <w:tcPr>
            <w:tcW w:w="2566" w:type="dxa"/>
            <w:tcBorders>
              <w:top w:val="nil"/>
              <w:left w:val="nil"/>
              <w:bottom w:val="single" w:sz="4" w:space="0" w:color="auto"/>
              <w:right w:val="single" w:sz="4" w:space="0" w:color="auto"/>
            </w:tcBorders>
            <w:shd w:val="clear" w:color="auto" w:fill="auto"/>
            <w:hideMark/>
          </w:tcPr>
          <w:p w14:paraId="40BAF1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BDB63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33103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60B54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The Prime Times Newsletter:</w:t>
            </w:r>
          </w:p>
        </w:tc>
        <w:tc>
          <w:tcPr>
            <w:tcW w:w="6762" w:type="dxa"/>
            <w:tcBorders>
              <w:top w:val="nil"/>
              <w:left w:val="nil"/>
              <w:bottom w:val="single" w:sz="4" w:space="0" w:color="auto"/>
              <w:right w:val="single" w:sz="4" w:space="0" w:color="auto"/>
            </w:tcBorders>
            <w:shd w:val="clear" w:color="auto" w:fill="auto"/>
            <w:hideMark/>
          </w:tcPr>
          <w:p w14:paraId="7B16FB7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BBB12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1B996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3030E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75CA81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Frequency: </w:t>
            </w:r>
          </w:p>
        </w:tc>
        <w:tc>
          <w:tcPr>
            <w:tcW w:w="6762" w:type="dxa"/>
            <w:tcBorders>
              <w:top w:val="nil"/>
              <w:left w:val="nil"/>
              <w:bottom w:val="single" w:sz="4" w:space="0" w:color="auto"/>
              <w:right w:val="single" w:sz="4" w:space="0" w:color="auto"/>
            </w:tcBorders>
            <w:shd w:val="clear" w:color="auto" w:fill="auto"/>
            <w:hideMark/>
          </w:tcPr>
          <w:p w14:paraId="38AA5D3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Publish a newsletter titled "The Prime Times" on a regular basis, such as weekly or bi-weekly, to keep backers updated on project developments.</w:t>
            </w:r>
          </w:p>
        </w:tc>
        <w:tc>
          <w:tcPr>
            <w:tcW w:w="2566" w:type="dxa"/>
            <w:tcBorders>
              <w:top w:val="nil"/>
              <w:left w:val="nil"/>
              <w:bottom w:val="single" w:sz="4" w:space="0" w:color="auto"/>
              <w:right w:val="single" w:sz="4" w:space="0" w:color="auto"/>
            </w:tcBorders>
            <w:shd w:val="clear" w:color="auto" w:fill="auto"/>
            <w:hideMark/>
          </w:tcPr>
          <w:p w14:paraId="7AC6EA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A55F4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9D90DE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F7896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Content Structure: </w:t>
            </w:r>
          </w:p>
        </w:tc>
        <w:tc>
          <w:tcPr>
            <w:tcW w:w="6762" w:type="dxa"/>
            <w:tcBorders>
              <w:top w:val="nil"/>
              <w:left w:val="nil"/>
              <w:bottom w:val="single" w:sz="4" w:space="0" w:color="auto"/>
              <w:right w:val="single" w:sz="4" w:space="0" w:color="auto"/>
            </w:tcBorders>
            <w:shd w:val="clear" w:color="auto" w:fill="auto"/>
            <w:hideMark/>
          </w:tcPr>
          <w:p w14:paraId="415EDB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Structure each newsletter with sections dedicated to different aspects of the project, including progress updates, achievements, challenges, milestones, and upcoming goals.</w:t>
            </w:r>
          </w:p>
        </w:tc>
        <w:tc>
          <w:tcPr>
            <w:tcW w:w="2566" w:type="dxa"/>
            <w:tcBorders>
              <w:top w:val="nil"/>
              <w:left w:val="nil"/>
              <w:bottom w:val="single" w:sz="4" w:space="0" w:color="auto"/>
              <w:right w:val="single" w:sz="4" w:space="0" w:color="auto"/>
            </w:tcBorders>
            <w:shd w:val="clear" w:color="auto" w:fill="auto"/>
            <w:hideMark/>
          </w:tcPr>
          <w:p w14:paraId="6F0A63D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939AB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F4468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709ED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Visual Appeal: </w:t>
            </w:r>
          </w:p>
        </w:tc>
        <w:tc>
          <w:tcPr>
            <w:tcW w:w="6762" w:type="dxa"/>
            <w:tcBorders>
              <w:top w:val="nil"/>
              <w:left w:val="nil"/>
              <w:bottom w:val="single" w:sz="4" w:space="0" w:color="auto"/>
              <w:right w:val="single" w:sz="4" w:space="0" w:color="auto"/>
            </w:tcBorders>
            <w:shd w:val="clear" w:color="auto" w:fill="auto"/>
            <w:hideMark/>
          </w:tcPr>
          <w:p w14:paraId="318BABC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visually appealing design elements, including high-quality images, infographics, and charts, to enhance the readability and engagement of the newsletter.</w:t>
            </w:r>
          </w:p>
        </w:tc>
        <w:tc>
          <w:tcPr>
            <w:tcW w:w="2566" w:type="dxa"/>
            <w:tcBorders>
              <w:top w:val="nil"/>
              <w:left w:val="nil"/>
              <w:bottom w:val="single" w:sz="4" w:space="0" w:color="auto"/>
              <w:right w:val="single" w:sz="4" w:space="0" w:color="auto"/>
            </w:tcBorders>
            <w:shd w:val="clear" w:color="auto" w:fill="auto"/>
            <w:hideMark/>
          </w:tcPr>
          <w:p w14:paraId="5648BD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DA925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CA3A4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E2991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Personalization: </w:t>
            </w:r>
          </w:p>
        </w:tc>
        <w:tc>
          <w:tcPr>
            <w:tcW w:w="6762" w:type="dxa"/>
            <w:tcBorders>
              <w:top w:val="nil"/>
              <w:left w:val="nil"/>
              <w:bottom w:val="single" w:sz="4" w:space="0" w:color="auto"/>
              <w:right w:val="single" w:sz="4" w:space="0" w:color="auto"/>
            </w:tcBorders>
            <w:shd w:val="clear" w:color="auto" w:fill="auto"/>
            <w:hideMark/>
          </w:tcPr>
          <w:p w14:paraId="2C185B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Address each newsletter directly to the recipient, using their name whenever possible, to create a personalized connection and increase engagement.</w:t>
            </w:r>
          </w:p>
        </w:tc>
        <w:tc>
          <w:tcPr>
            <w:tcW w:w="2566" w:type="dxa"/>
            <w:tcBorders>
              <w:top w:val="nil"/>
              <w:left w:val="nil"/>
              <w:bottom w:val="single" w:sz="4" w:space="0" w:color="auto"/>
              <w:right w:val="single" w:sz="4" w:space="0" w:color="auto"/>
            </w:tcBorders>
            <w:shd w:val="clear" w:color="auto" w:fill="auto"/>
            <w:hideMark/>
          </w:tcPr>
          <w:p w14:paraId="3D82D9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845DA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F2DED1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EDC6D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Accessible Language: </w:t>
            </w:r>
          </w:p>
        </w:tc>
        <w:tc>
          <w:tcPr>
            <w:tcW w:w="6762" w:type="dxa"/>
            <w:tcBorders>
              <w:top w:val="nil"/>
              <w:left w:val="nil"/>
              <w:bottom w:val="single" w:sz="4" w:space="0" w:color="auto"/>
              <w:right w:val="single" w:sz="4" w:space="0" w:color="auto"/>
            </w:tcBorders>
            <w:shd w:val="clear" w:color="auto" w:fill="auto"/>
            <w:hideMark/>
          </w:tcPr>
          <w:p w14:paraId="5FF1785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Write newsletter content in clear, concise language that is easy for all backers to understand, regardless of their technical background or expertise.</w:t>
            </w:r>
          </w:p>
        </w:tc>
        <w:tc>
          <w:tcPr>
            <w:tcW w:w="2566" w:type="dxa"/>
            <w:tcBorders>
              <w:top w:val="nil"/>
              <w:left w:val="nil"/>
              <w:bottom w:val="single" w:sz="4" w:space="0" w:color="auto"/>
              <w:right w:val="single" w:sz="4" w:space="0" w:color="auto"/>
            </w:tcBorders>
            <w:shd w:val="clear" w:color="auto" w:fill="auto"/>
            <w:hideMark/>
          </w:tcPr>
          <w:p w14:paraId="4DA1E2B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05FB9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F09A6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3A379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Elements: </w:t>
            </w:r>
          </w:p>
        </w:tc>
        <w:tc>
          <w:tcPr>
            <w:tcW w:w="6762" w:type="dxa"/>
            <w:tcBorders>
              <w:top w:val="nil"/>
              <w:left w:val="nil"/>
              <w:bottom w:val="single" w:sz="4" w:space="0" w:color="auto"/>
              <w:right w:val="single" w:sz="4" w:space="0" w:color="auto"/>
            </w:tcBorders>
            <w:shd w:val="clear" w:color="auto" w:fill="auto"/>
            <w:hideMark/>
          </w:tcPr>
          <w:p w14:paraId="74736AC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Incorporate interactive elements such as polls, surveys, or clickable links to encourage reader engagement and feedback.</w:t>
            </w:r>
          </w:p>
        </w:tc>
        <w:tc>
          <w:tcPr>
            <w:tcW w:w="2566" w:type="dxa"/>
            <w:tcBorders>
              <w:top w:val="nil"/>
              <w:left w:val="nil"/>
              <w:bottom w:val="single" w:sz="4" w:space="0" w:color="auto"/>
              <w:right w:val="single" w:sz="4" w:space="0" w:color="auto"/>
            </w:tcBorders>
            <w:shd w:val="clear" w:color="auto" w:fill="auto"/>
            <w:hideMark/>
          </w:tcPr>
          <w:p w14:paraId="0AD352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CA243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891DA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772F2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Call to Action: </w:t>
            </w:r>
          </w:p>
        </w:tc>
        <w:tc>
          <w:tcPr>
            <w:tcW w:w="6762" w:type="dxa"/>
            <w:tcBorders>
              <w:top w:val="nil"/>
              <w:left w:val="nil"/>
              <w:bottom w:val="single" w:sz="4" w:space="0" w:color="auto"/>
              <w:right w:val="single" w:sz="4" w:space="0" w:color="auto"/>
            </w:tcBorders>
            <w:shd w:val="clear" w:color="auto" w:fill="auto"/>
            <w:hideMark/>
          </w:tcPr>
          <w:p w14:paraId="5D587A7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Include a clear call to action in each newsletter, prompting readers to take specific actions such as visiting the campaign page, sharing the newsletter with their network, or providing feedback.</w:t>
            </w:r>
          </w:p>
        </w:tc>
        <w:tc>
          <w:tcPr>
            <w:tcW w:w="2566" w:type="dxa"/>
            <w:tcBorders>
              <w:top w:val="nil"/>
              <w:left w:val="nil"/>
              <w:bottom w:val="single" w:sz="4" w:space="0" w:color="auto"/>
              <w:right w:val="single" w:sz="4" w:space="0" w:color="auto"/>
            </w:tcBorders>
            <w:shd w:val="clear" w:color="auto" w:fill="auto"/>
            <w:hideMark/>
          </w:tcPr>
          <w:p w14:paraId="265E90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16DA3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9DCEAE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2BDF2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Archive: </w:t>
            </w:r>
          </w:p>
        </w:tc>
        <w:tc>
          <w:tcPr>
            <w:tcW w:w="6762" w:type="dxa"/>
            <w:tcBorders>
              <w:top w:val="nil"/>
              <w:left w:val="nil"/>
              <w:bottom w:val="single" w:sz="4" w:space="0" w:color="auto"/>
              <w:right w:val="single" w:sz="4" w:space="0" w:color="auto"/>
            </w:tcBorders>
            <w:shd w:val="clear" w:color="auto" w:fill="auto"/>
            <w:hideMark/>
          </w:tcPr>
          <w:p w14:paraId="7D1DC3F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Maintain an archive of past newsletters on the campaign website or within the PrimeBookOne app for easy reference and access to historical project updates.</w:t>
            </w:r>
          </w:p>
        </w:tc>
        <w:tc>
          <w:tcPr>
            <w:tcW w:w="2566" w:type="dxa"/>
            <w:tcBorders>
              <w:top w:val="nil"/>
              <w:left w:val="nil"/>
              <w:bottom w:val="single" w:sz="4" w:space="0" w:color="auto"/>
              <w:right w:val="single" w:sz="4" w:space="0" w:color="auto"/>
            </w:tcBorders>
            <w:shd w:val="clear" w:color="auto" w:fill="auto"/>
            <w:hideMark/>
          </w:tcPr>
          <w:p w14:paraId="79F30BC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4ADBE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3BEF1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49AD5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Social Media Updates:</w:t>
            </w:r>
          </w:p>
        </w:tc>
        <w:tc>
          <w:tcPr>
            <w:tcW w:w="6762" w:type="dxa"/>
            <w:tcBorders>
              <w:top w:val="nil"/>
              <w:left w:val="nil"/>
              <w:bottom w:val="single" w:sz="4" w:space="0" w:color="auto"/>
              <w:right w:val="single" w:sz="4" w:space="0" w:color="auto"/>
            </w:tcBorders>
            <w:shd w:val="clear" w:color="auto" w:fill="auto"/>
            <w:hideMark/>
          </w:tcPr>
          <w:p w14:paraId="688BF7B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CAAECC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FD1EE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E2CA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747AA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Platform Variety: </w:t>
            </w:r>
          </w:p>
        </w:tc>
        <w:tc>
          <w:tcPr>
            <w:tcW w:w="6762" w:type="dxa"/>
            <w:tcBorders>
              <w:top w:val="nil"/>
              <w:left w:val="nil"/>
              <w:bottom w:val="single" w:sz="4" w:space="0" w:color="auto"/>
              <w:right w:val="single" w:sz="4" w:space="0" w:color="auto"/>
            </w:tcBorders>
            <w:shd w:val="clear" w:color="auto" w:fill="auto"/>
            <w:hideMark/>
          </w:tcPr>
          <w:p w14:paraId="0091DD8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a variety of social media platforms, including Twitter, Facebook, Instagram, LinkedIn, and Reddit, to share regular updates on the project's progress.</w:t>
            </w:r>
          </w:p>
        </w:tc>
        <w:tc>
          <w:tcPr>
            <w:tcW w:w="2566" w:type="dxa"/>
            <w:tcBorders>
              <w:top w:val="nil"/>
              <w:left w:val="nil"/>
              <w:bottom w:val="single" w:sz="4" w:space="0" w:color="auto"/>
              <w:right w:val="single" w:sz="4" w:space="0" w:color="auto"/>
            </w:tcBorders>
            <w:shd w:val="clear" w:color="auto" w:fill="auto"/>
            <w:hideMark/>
          </w:tcPr>
          <w:p w14:paraId="76ECC98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C327A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D988DD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85606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Content Variation: </w:t>
            </w:r>
          </w:p>
        </w:tc>
        <w:tc>
          <w:tcPr>
            <w:tcW w:w="6762" w:type="dxa"/>
            <w:tcBorders>
              <w:top w:val="nil"/>
              <w:left w:val="nil"/>
              <w:bottom w:val="single" w:sz="4" w:space="0" w:color="auto"/>
              <w:right w:val="single" w:sz="4" w:space="0" w:color="auto"/>
            </w:tcBorders>
            <w:shd w:val="clear" w:color="auto" w:fill="auto"/>
            <w:hideMark/>
          </w:tcPr>
          <w:p w14:paraId="27D0CC6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Tailor the content of social media updates to suit the preferences and expectations of each platform's audience, while maintaining consistency in messaging and branding.</w:t>
            </w:r>
          </w:p>
        </w:tc>
        <w:tc>
          <w:tcPr>
            <w:tcW w:w="2566" w:type="dxa"/>
            <w:tcBorders>
              <w:top w:val="nil"/>
              <w:left w:val="nil"/>
              <w:bottom w:val="single" w:sz="4" w:space="0" w:color="auto"/>
              <w:right w:val="single" w:sz="4" w:space="0" w:color="auto"/>
            </w:tcBorders>
            <w:shd w:val="clear" w:color="auto" w:fill="auto"/>
            <w:hideMark/>
          </w:tcPr>
          <w:p w14:paraId="103D61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0C736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2D5A34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E705E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Visual Content: </w:t>
            </w:r>
          </w:p>
        </w:tc>
        <w:tc>
          <w:tcPr>
            <w:tcW w:w="6762" w:type="dxa"/>
            <w:tcBorders>
              <w:top w:val="nil"/>
              <w:left w:val="nil"/>
              <w:bottom w:val="single" w:sz="4" w:space="0" w:color="auto"/>
              <w:right w:val="single" w:sz="4" w:space="0" w:color="auto"/>
            </w:tcBorders>
            <w:shd w:val="clear" w:color="auto" w:fill="auto"/>
            <w:hideMark/>
          </w:tcPr>
          <w:p w14:paraId="11D996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Accompany text updates with visually engaging content such as photos, videos, infographics, or animations to capture attention and increase engagement.</w:t>
            </w:r>
          </w:p>
        </w:tc>
        <w:tc>
          <w:tcPr>
            <w:tcW w:w="2566" w:type="dxa"/>
            <w:tcBorders>
              <w:top w:val="nil"/>
              <w:left w:val="nil"/>
              <w:bottom w:val="single" w:sz="4" w:space="0" w:color="auto"/>
              <w:right w:val="single" w:sz="4" w:space="0" w:color="auto"/>
            </w:tcBorders>
            <w:shd w:val="clear" w:color="auto" w:fill="auto"/>
            <w:hideMark/>
          </w:tcPr>
          <w:p w14:paraId="636CBF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905E5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EB494C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BD80E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Engagement Monitoring: </w:t>
            </w:r>
          </w:p>
        </w:tc>
        <w:tc>
          <w:tcPr>
            <w:tcW w:w="6762" w:type="dxa"/>
            <w:tcBorders>
              <w:top w:val="nil"/>
              <w:left w:val="nil"/>
              <w:bottom w:val="single" w:sz="4" w:space="0" w:color="auto"/>
              <w:right w:val="single" w:sz="4" w:space="0" w:color="auto"/>
            </w:tcBorders>
            <w:shd w:val="clear" w:color="auto" w:fill="auto"/>
            <w:hideMark/>
          </w:tcPr>
          <w:p w14:paraId="5105C34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social media channels closely for comments, questions, and feedback from followers, and respond promptly to foster two-way communication and interaction.</w:t>
            </w:r>
          </w:p>
        </w:tc>
        <w:tc>
          <w:tcPr>
            <w:tcW w:w="2566" w:type="dxa"/>
            <w:tcBorders>
              <w:top w:val="nil"/>
              <w:left w:val="nil"/>
              <w:bottom w:val="single" w:sz="4" w:space="0" w:color="auto"/>
              <w:right w:val="single" w:sz="4" w:space="0" w:color="auto"/>
            </w:tcBorders>
            <w:shd w:val="clear" w:color="auto" w:fill="auto"/>
            <w:hideMark/>
          </w:tcPr>
          <w:p w14:paraId="652153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DF69E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F7FCF9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4C0FE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Hashtag Usage: </w:t>
            </w:r>
          </w:p>
        </w:tc>
        <w:tc>
          <w:tcPr>
            <w:tcW w:w="6762" w:type="dxa"/>
            <w:tcBorders>
              <w:top w:val="nil"/>
              <w:left w:val="nil"/>
              <w:bottom w:val="single" w:sz="4" w:space="0" w:color="auto"/>
              <w:right w:val="single" w:sz="4" w:space="0" w:color="auto"/>
            </w:tcBorders>
            <w:shd w:val="clear" w:color="auto" w:fill="auto"/>
            <w:hideMark/>
          </w:tcPr>
          <w:p w14:paraId="520BCDC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Incorporate relevant hashtags into social media posts to increase visibility and reach among targeted audiences and communities interested in mathematics, science, technology, and crowdfunding.</w:t>
            </w:r>
          </w:p>
        </w:tc>
        <w:tc>
          <w:tcPr>
            <w:tcW w:w="2566" w:type="dxa"/>
            <w:tcBorders>
              <w:top w:val="nil"/>
              <w:left w:val="nil"/>
              <w:bottom w:val="single" w:sz="4" w:space="0" w:color="auto"/>
              <w:right w:val="single" w:sz="4" w:space="0" w:color="auto"/>
            </w:tcBorders>
            <w:shd w:val="clear" w:color="auto" w:fill="auto"/>
            <w:hideMark/>
          </w:tcPr>
          <w:p w14:paraId="29E29E4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68A2B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6EEA7C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A71D4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Scheduled Posting: </w:t>
            </w:r>
          </w:p>
        </w:tc>
        <w:tc>
          <w:tcPr>
            <w:tcW w:w="6762" w:type="dxa"/>
            <w:tcBorders>
              <w:top w:val="nil"/>
              <w:left w:val="nil"/>
              <w:bottom w:val="single" w:sz="4" w:space="0" w:color="auto"/>
              <w:right w:val="single" w:sz="4" w:space="0" w:color="auto"/>
            </w:tcBorders>
            <w:shd w:val="clear" w:color="auto" w:fill="auto"/>
            <w:hideMark/>
          </w:tcPr>
          <w:p w14:paraId="121B68D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social media management tools to schedule posts in advance, ensuring consistent and timely updates even during busy periods of the campaign.</w:t>
            </w:r>
          </w:p>
        </w:tc>
        <w:tc>
          <w:tcPr>
            <w:tcW w:w="2566" w:type="dxa"/>
            <w:tcBorders>
              <w:top w:val="nil"/>
              <w:left w:val="nil"/>
              <w:bottom w:val="single" w:sz="4" w:space="0" w:color="auto"/>
              <w:right w:val="single" w:sz="4" w:space="0" w:color="auto"/>
            </w:tcBorders>
            <w:shd w:val="clear" w:color="auto" w:fill="auto"/>
            <w:hideMark/>
          </w:tcPr>
          <w:p w14:paraId="4092BCF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7A44E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137A69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FED3B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Campaign Blog:</w:t>
            </w:r>
          </w:p>
        </w:tc>
        <w:tc>
          <w:tcPr>
            <w:tcW w:w="6762" w:type="dxa"/>
            <w:tcBorders>
              <w:top w:val="nil"/>
              <w:left w:val="nil"/>
              <w:bottom w:val="single" w:sz="4" w:space="0" w:color="auto"/>
              <w:right w:val="single" w:sz="4" w:space="0" w:color="auto"/>
            </w:tcBorders>
            <w:shd w:val="clear" w:color="auto" w:fill="auto"/>
            <w:hideMark/>
          </w:tcPr>
          <w:p w14:paraId="610CB35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4858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D720B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EB171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852E50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Establishment: </w:t>
            </w:r>
          </w:p>
        </w:tc>
        <w:tc>
          <w:tcPr>
            <w:tcW w:w="6762" w:type="dxa"/>
            <w:tcBorders>
              <w:top w:val="nil"/>
              <w:left w:val="nil"/>
              <w:bottom w:val="single" w:sz="4" w:space="0" w:color="auto"/>
              <w:right w:val="single" w:sz="4" w:space="0" w:color="auto"/>
            </w:tcBorders>
            <w:shd w:val="clear" w:color="auto" w:fill="auto"/>
            <w:hideMark/>
          </w:tcPr>
          <w:p w14:paraId="6F29985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a dedicated blog section on the campaign website or PrimeBookOne app to serve as a centralized platform for sharing detailed project updates and insights.</w:t>
            </w:r>
          </w:p>
        </w:tc>
        <w:tc>
          <w:tcPr>
            <w:tcW w:w="2566" w:type="dxa"/>
            <w:tcBorders>
              <w:top w:val="nil"/>
              <w:left w:val="nil"/>
              <w:bottom w:val="single" w:sz="4" w:space="0" w:color="auto"/>
              <w:right w:val="single" w:sz="4" w:space="0" w:color="auto"/>
            </w:tcBorders>
            <w:shd w:val="clear" w:color="auto" w:fill="auto"/>
            <w:hideMark/>
          </w:tcPr>
          <w:p w14:paraId="29C5DD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4E1A1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60F4D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1717A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Content Depth: </w:t>
            </w:r>
          </w:p>
        </w:tc>
        <w:tc>
          <w:tcPr>
            <w:tcW w:w="6762" w:type="dxa"/>
            <w:tcBorders>
              <w:top w:val="nil"/>
              <w:left w:val="nil"/>
              <w:bottom w:val="single" w:sz="4" w:space="0" w:color="auto"/>
              <w:right w:val="single" w:sz="4" w:space="0" w:color="auto"/>
            </w:tcBorders>
            <w:shd w:val="clear" w:color="auto" w:fill="auto"/>
            <w:hideMark/>
          </w:tcPr>
          <w:p w14:paraId="74F2ACE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the blog to delve deeper into specific project milestones, achievements, challenges, and technical developments, providing in-depth analysis and behind-the-scenes glimpses.</w:t>
            </w:r>
          </w:p>
        </w:tc>
        <w:tc>
          <w:tcPr>
            <w:tcW w:w="2566" w:type="dxa"/>
            <w:tcBorders>
              <w:top w:val="nil"/>
              <w:left w:val="nil"/>
              <w:bottom w:val="single" w:sz="4" w:space="0" w:color="auto"/>
              <w:right w:val="single" w:sz="4" w:space="0" w:color="auto"/>
            </w:tcBorders>
            <w:shd w:val="clear" w:color="auto" w:fill="auto"/>
            <w:hideMark/>
          </w:tcPr>
          <w:p w14:paraId="1CE092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B9B6B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54BA3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BEA4A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Authorship: </w:t>
            </w:r>
          </w:p>
        </w:tc>
        <w:tc>
          <w:tcPr>
            <w:tcW w:w="6762" w:type="dxa"/>
            <w:tcBorders>
              <w:top w:val="nil"/>
              <w:left w:val="nil"/>
              <w:bottom w:val="single" w:sz="4" w:space="0" w:color="auto"/>
              <w:right w:val="single" w:sz="4" w:space="0" w:color="auto"/>
            </w:tcBorders>
            <w:shd w:val="clear" w:color="auto" w:fill="auto"/>
            <w:hideMark/>
          </w:tcPr>
          <w:p w14:paraId="09C0395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Assign authorship of blog posts to different members of the project team, collaborators, or guest contributors to offer diverse perspectives and expertise.</w:t>
            </w:r>
          </w:p>
        </w:tc>
        <w:tc>
          <w:tcPr>
            <w:tcW w:w="2566" w:type="dxa"/>
            <w:tcBorders>
              <w:top w:val="nil"/>
              <w:left w:val="nil"/>
              <w:bottom w:val="single" w:sz="4" w:space="0" w:color="auto"/>
              <w:right w:val="single" w:sz="4" w:space="0" w:color="auto"/>
            </w:tcBorders>
            <w:shd w:val="clear" w:color="auto" w:fill="auto"/>
            <w:hideMark/>
          </w:tcPr>
          <w:p w14:paraId="2E64BD2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840DF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4A333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ED546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Engagement Features: </w:t>
            </w:r>
          </w:p>
        </w:tc>
        <w:tc>
          <w:tcPr>
            <w:tcW w:w="6762" w:type="dxa"/>
            <w:tcBorders>
              <w:top w:val="nil"/>
              <w:left w:val="nil"/>
              <w:bottom w:val="single" w:sz="4" w:space="0" w:color="auto"/>
              <w:right w:val="single" w:sz="4" w:space="0" w:color="auto"/>
            </w:tcBorders>
            <w:shd w:val="clear" w:color="auto" w:fill="auto"/>
            <w:hideMark/>
          </w:tcPr>
          <w:p w14:paraId="52CBBDF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Enable comments and feedback sections on blog posts to facilitate discussion and interaction among readers, encouraging them to share their thoughts and insights.</w:t>
            </w:r>
          </w:p>
        </w:tc>
        <w:tc>
          <w:tcPr>
            <w:tcW w:w="2566" w:type="dxa"/>
            <w:tcBorders>
              <w:top w:val="nil"/>
              <w:left w:val="nil"/>
              <w:bottom w:val="single" w:sz="4" w:space="0" w:color="auto"/>
              <w:right w:val="single" w:sz="4" w:space="0" w:color="auto"/>
            </w:tcBorders>
            <w:shd w:val="clear" w:color="auto" w:fill="auto"/>
            <w:hideMark/>
          </w:tcPr>
          <w:p w14:paraId="6D43C90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226CE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119E4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63B02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Subscribe Option: </w:t>
            </w:r>
          </w:p>
        </w:tc>
        <w:tc>
          <w:tcPr>
            <w:tcW w:w="6762" w:type="dxa"/>
            <w:tcBorders>
              <w:top w:val="nil"/>
              <w:left w:val="nil"/>
              <w:bottom w:val="single" w:sz="4" w:space="0" w:color="auto"/>
              <w:right w:val="single" w:sz="4" w:space="0" w:color="auto"/>
            </w:tcBorders>
            <w:shd w:val="clear" w:color="auto" w:fill="auto"/>
            <w:hideMark/>
          </w:tcPr>
          <w:p w14:paraId="306A8C1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Include an option for readers to subscribe to the blog via email to receive notifications of new posts and updates, ensuring ongoing engagement and retention.</w:t>
            </w:r>
          </w:p>
        </w:tc>
        <w:tc>
          <w:tcPr>
            <w:tcW w:w="2566" w:type="dxa"/>
            <w:tcBorders>
              <w:top w:val="nil"/>
              <w:left w:val="nil"/>
              <w:bottom w:val="single" w:sz="4" w:space="0" w:color="auto"/>
              <w:right w:val="single" w:sz="4" w:space="0" w:color="auto"/>
            </w:tcBorders>
            <w:shd w:val="clear" w:color="auto" w:fill="auto"/>
            <w:hideMark/>
          </w:tcPr>
          <w:p w14:paraId="028CE46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B9878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DB7AF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C4A42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Interactive Live Events:</w:t>
            </w:r>
          </w:p>
        </w:tc>
        <w:tc>
          <w:tcPr>
            <w:tcW w:w="6762" w:type="dxa"/>
            <w:tcBorders>
              <w:top w:val="nil"/>
              <w:left w:val="nil"/>
              <w:bottom w:val="single" w:sz="4" w:space="0" w:color="auto"/>
              <w:right w:val="single" w:sz="4" w:space="0" w:color="auto"/>
            </w:tcBorders>
            <w:shd w:val="clear" w:color="auto" w:fill="auto"/>
            <w:hideMark/>
          </w:tcPr>
          <w:p w14:paraId="64DA38B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2BFC37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C57A7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591898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55FC6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Webinars and Q&amp;A Sessions: </w:t>
            </w:r>
          </w:p>
        </w:tc>
        <w:tc>
          <w:tcPr>
            <w:tcW w:w="6762" w:type="dxa"/>
            <w:tcBorders>
              <w:top w:val="nil"/>
              <w:left w:val="nil"/>
              <w:bottom w:val="single" w:sz="4" w:space="0" w:color="auto"/>
              <w:right w:val="single" w:sz="4" w:space="0" w:color="auto"/>
            </w:tcBorders>
            <w:shd w:val="clear" w:color="auto" w:fill="auto"/>
            <w:hideMark/>
          </w:tcPr>
          <w:p w14:paraId="1CC1A9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Host live webinars, virtual town halls, or Q&amp;A sessions where backers can interact directly with the project team, ask questions, and receive real-time updates on project progress.</w:t>
            </w:r>
          </w:p>
        </w:tc>
        <w:tc>
          <w:tcPr>
            <w:tcW w:w="2566" w:type="dxa"/>
            <w:tcBorders>
              <w:top w:val="nil"/>
              <w:left w:val="nil"/>
              <w:bottom w:val="single" w:sz="4" w:space="0" w:color="auto"/>
              <w:right w:val="single" w:sz="4" w:space="0" w:color="auto"/>
            </w:tcBorders>
            <w:shd w:val="clear" w:color="auto" w:fill="auto"/>
            <w:hideMark/>
          </w:tcPr>
          <w:p w14:paraId="4C8328E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BB4C5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8F8F3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9B1F1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Virtual Tours: </w:t>
            </w:r>
          </w:p>
        </w:tc>
        <w:tc>
          <w:tcPr>
            <w:tcW w:w="6762" w:type="dxa"/>
            <w:tcBorders>
              <w:top w:val="nil"/>
              <w:left w:val="nil"/>
              <w:bottom w:val="single" w:sz="4" w:space="0" w:color="auto"/>
              <w:right w:val="single" w:sz="4" w:space="0" w:color="auto"/>
            </w:tcBorders>
            <w:shd w:val="clear" w:color="auto" w:fill="auto"/>
            <w:hideMark/>
          </w:tcPr>
          <w:p w14:paraId="1704F68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virtual tours or behind-the-scenes walkthroughs of project facilities, laboratories, or development sites to provide backers with an immersive and interactive experience.</w:t>
            </w:r>
          </w:p>
        </w:tc>
        <w:tc>
          <w:tcPr>
            <w:tcW w:w="2566" w:type="dxa"/>
            <w:tcBorders>
              <w:top w:val="nil"/>
              <w:left w:val="nil"/>
              <w:bottom w:val="single" w:sz="4" w:space="0" w:color="auto"/>
              <w:right w:val="single" w:sz="4" w:space="0" w:color="auto"/>
            </w:tcBorders>
            <w:shd w:val="clear" w:color="auto" w:fill="auto"/>
            <w:hideMark/>
          </w:tcPr>
          <w:p w14:paraId="347230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7DAB3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B6D1F3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52765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Workshops: </w:t>
            </w:r>
          </w:p>
        </w:tc>
        <w:tc>
          <w:tcPr>
            <w:tcW w:w="6762" w:type="dxa"/>
            <w:tcBorders>
              <w:top w:val="nil"/>
              <w:left w:val="nil"/>
              <w:bottom w:val="single" w:sz="4" w:space="0" w:color="auto"/>
              <w:right w:val="single" w:sz="4" w:space="0" w:color="auto"/>
            </w:tcBorders>
            <w:shd w:val="clear" w:color="auto" w:fill="auto"/>
            <w:hideMark/>
          </w:tcPr>
          <w:p w14:paraId="0A93A6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interactive workshops or training sessions related to project themes or technologies, offering backers the opportunity to learn new skills and engage with project content in a hands-on manner.</w:t>
            </w:r>
          </w:p>
        </w:tc>
        <w:tc>
          <w:tcPr>
            <w:tcW w:w="2566" w:type="dxa"/>
            <w:tcBorders>
              <w:top w:val="nil"/>
              <w:left w:val="nil"/>
              <w:bottom w:val="single" w:sz="4" w:space="0" w:color="auto"/>
              <w:right w:val="single" w:sz="4" w:space="0" w:color="auto"/>
            </w:tcBorders>
            <w:shd w:val="clear" w:color="auto" w:fill="auto"/>
            <w:hideMark/>
          </w:tcPr>
          <w:p w14:paraId="5D6478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CC7EC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A1F7E7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44126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Polls and Surveys: </w:t>
            </w:r>
          </w:p>
        </w:tc>
        <w:tc>
          <w:tcPr>
            <w:tcW w:w="6762" w:type="dxa"/>
            <w:tcBorders>
              <w:top w:val="nil"/>
              <w:left w:val="nil"/>
              <w:bottom w:val="single" w:sz="4" w:space="0" w:color="auto"/>
              <w:right w:val="single" w:sz="4" w:space="0" w:color="auto"/>
            </w:tcBorders>
            <w:shd w:val="clear" w:color="auto" w:fill="auto"/>
            <w:hideMark/>
          </w:tcPr>
          <w:p w14:paraId="1F8375A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Integrate polls, surveys, or quizzes into live events to gauge audience opinions, preferences, and feedback in real-time, allowing for immediate response and adaptation to audience needs.</w:t>
            </w:r>
          </w:p>
        </w:tc>
        <w:tc>
          <w:tcPr>
            <w:tcW w:w="2566" w:type="dxa"/>
            <w:tcBorders>
              <w:top w:val="nil"/>
              <w:left w:val="nil"/>
              <w:bottom w:val="single" w:sz="4" w:space="0" w:color="auto"/>
              <w:right w:val="single" w:sz="4" w:space="0" w:color="auto"/>
            </w:tcBorders>
            <w:shd w:val="clear" w:color="auto" w:fill="auto"/>
            <w:hideMark/>
          </w:tcPr>
          <w:p w14:paraId="1144646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8DA42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B27D34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E166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4F1A5B5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these engagement and interaction strategies, the campaign can effectively communicate with potential backers throughout the campaign, keeping them informed, involved, and excited about the project's progress and potential impact.</w:t>
            </w:r>
          </w:p>
        </w:tc>
        <w:tc>
          <w:tcPr>
            <w:tcW w:w="2566" w:type="dxa"/>
            <w:tcBorders>
              <w:top w:val="nil"/>
              <w:left w:val="nil"/>
              <w:bottom w:val="single" w:sz="4" w:space="0" w:color="auto"/>
              <w:right w:val="single" w:sz="4" w:space="0" w:color="auto"/>
            </w:tcBorders>
            <w:shd w:val="clear" w:color="auto" w:fill="auto"/>
            <w:hideMark/>
          </w:tcPr>
          <w:p w14:paraId="412FD8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62EF6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BE084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54861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Engagement and Interaction:</w:t>
            </w:r>
          </w:p>
        </w:tc>
        <w:tc>
          <w:tcPr>
            <w:tcW w:w="6762" w:type="dxa"/>
            <w:tcBorders>
              <w:top w:val="nil"/>
              <w:left w:val="nil"/>
              <w:bottom w:val="single" w:sz="4" w:space="0" w:color="auto"/>
              <w:right w:val="single" w:sz="4" w:space="0" w:color="auto"/>
            </w:tcBorders>
            <w:shd w:val="clear" w:color="auto" w:fill="auto"/>
            <w:hideMark/>
          </w:tcPr>
          <w:p w14:paraId="68AA033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Use a variety of formats such as text updates, videos, infographics, and live streams to keep backers informed and engaged.</w:t>
            </w:r>
          </w:p>
        </w:tc>
        <w:tc>
          <w:tcPr>
            <w:tcW w:w="2566" w:type="dxa"/>
            <w:tcBorders>
              <w:top w:val="nil"/>
              <w:left w:val="nil"/>
              <w:bottom w:val="single" w:sz="4" w:space="0" w:color="auto"/>
              <w:right w:val="single" w:sz="4" w:space="0" w:color="auto"/>
            </w:tcBorders>
            <w:shd w:val="clear" w:color="auto" w:fill="auto"/>
            <w:hideMark/>
          </w:tcPr>
          <w:p w14:paraId="5D4A386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Prime Experience</w:t>
            </w:r>
          </w:p>
        </w:tc>
      </w:tr>
      <w:tr w:rsidR="0041317E" w:rsidRPr="0041317E" w14:paraId="43964E8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5874B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724FA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666B55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The "Prime Experience" strategy aims to leverage various formats to provide engaging and informative content to potential backers throughout the campaign. Here's a detailed plan on how to implement this strategy effectively:</w:t>
            </w:r>
          </w:p>
        </w:tc>
        <w:tc>
          <w:tcPr>
            <w:tcW w:w="2566" w:type="dxa"/>
            <w:tcBorders>
              <w:top w:val="nil"/>
              <w:left w:val="nil"/>
              <w:bottom w:val="single" w:sz="4" w:space="0" w:color="auto"/>
              <w:right w:val="single" w:sz="4" w:space="0" w:color="auto"/>
            </w:tcBorders>
            <w:shd w:val="clear" w:color="auto" w:fill="auto"/>
            <w:hideMark/>
          </w:tcPr>
          <w:p w14:paraId="0D48F9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D3203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84F48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A84C9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Text Updates:</w:t>
            </w:r>
          </w:p>
        </w:tc>
        <w:tc>
          <w:tcPr>
            <w:tcW w:w="6762" w:type="dxa"/>
            <w:tcBorders>
              <w:top w:val="nil"/>
              <w:left w:val="nil"/>
              <w:bottom w:val="single" w:sz="4" w:space="0" w:color="auto"/>
              <w:right w:val="single" w:sz="4" w:space="0" w:color="auto"/>
            </w:tcBorders>
            <w:shd w:val="clear" w:color="auto" w:fill="auto"/>
            <w:hideMark/>
          </w:tcPr>
          <w:p w14:paraId="17901E2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EE135A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3F5F8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E87460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95696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Regular Schedule: </w:t>
            </w:r>
          </w:p>
        </w:tc>
        <w:tc>
          <w:tcPr>
            <w:tcW w:w="6762" w:type="dxa"/>
            <w:tcBorders>
              <w:top w:val="nil"/>
              <w:left w:val="nil"/>
              <w:bottom w:val="single" w:sz="4" w:space="0" w:color="auto"/>
              <w:right w:val="single" w:sz="4" w:space="0" w:color="auto"/>
            </w:tcBorders>
            <w:shd w:val="clear" w:color="auto" w:fill="auto"/>
            <w:hideMark/>
          </w:tcPr>
          <w:p w14:paraId="3CF99AE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Establish a consistent schedule for text updates, such as weekly or bi-weekly, to keep backers informed about the project's progress.</w:t>
            </w:r>
          </w:p>
        </w:tc>
        <w:tc>
          <w:tcPr>
            <w:tcW w:w="2566" w:type="dxa"/>
            <w:tcBorders>
              <w:top w:val="nil"/>
              <w:left w:val="nil"/>
              <w:bottom w:val="single" w:sz="4" w:space="0" w:color="auto"/>
              <w:right w:val="single" w:sz="4" w:space="0" w:color="auto"/>
            </w:tcBorders>
            <w:shd w:val="clear" w:color="auto" w:fill="auto"/>
            <w:hideMark/>
          </w:tcPr>
          <w:p w14:paraId="4EB8DE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EB2CF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B40ABB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09488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Content Variety: </w:t>
            </w:r>
          </w:p>
        </w:tc>
        <w:tc>
          <w:tcPr>
            <w:tcW w:w="6762" w:type="dxa"/>
            <w:tcBorders>
              <w:top w:val="nil"/>
              <w:left w:val="nil"/>
              <w:bottom w:val="single" w:sz="4" w:space="0" w:color="auto"/>
              <w:right w:val="single" w:sz="4" w:space="0" w:color="auto"/>
            </w:tcBorders>
            <w:shd w:val="clear" w:color="auto" w:fill="auto"/>
            <w:hideMark/>
          </w:tcPr>
          <w:p w14:paraId="3E2F445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Share a diverse range of content in text updates, including project milestones, achievements, challenges, upcoming goals, and behind-the-scenes insights.</w:t>
            </w:r>
          </w:p>
        </w:tc>
        <w:tc>
          <w:tcPr>
            <w:tcW w:w="2566" w:type="dxa"/>
            <w:tcBorders>
              <w:top w:val="nil"/>
              <w:left w:val="nil"/>
              <w:bottom w:val="single" w:sz="4" w:space="0" w:color="auto"/>
              <w:right w:val="single" w:sz="4" w:space="0" w:color="auto"/>
            </w:tcBorders>
            <w:shd w:val="clear" w:color="auto" w:fill="auto"/>
            <w:hideMark/>
          </w:tcPr>
          <w:p w14:paraId="365DC8C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93580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729CB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6E664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Clear Communication: </w:t>
            </w:r>
          </w:p>
        </w:tc>
        <w:tc>
          <w:tcPr>
            <w:tcW w:w="6762" w:type="dxa"/>
            <w:tcBorders>
              <w:top w:val="nil"/>
              <w:left w:val="nil"/>
              <w:bottom w:val="single" w:sz="4" w:space="0" w:color="auto"/>
              <w:right w:val="single" w:sz="4" w:space="0" w:color="auto"/>
            </w:tcBorders>
            <w:shd w:val="clear" w:color="auto" w:fill="auto"/>
            <w:hideMark/>
          </w:tcPr>
          <w:p w14:paraId="0B5561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Write text updates in clear and concise language, ensuring that backers can easily understand the information provided.</w:t>
            </w:r>
          </w:p>
        </w:tc>
        <w:tc>
          <w:tcPr>
            <w:tcW w:w="2566" w:type="dxa"/>
            <w:tcBorders>
              <w:top w:val="nil"/>
              <w:left w:val="nil"/>
              <w:bottom w:val="single" w:sz="4" w:space="0" w:color="auto"/>
              <w:right w:val="single" w:sz="4" w:space="0" w:color="auto"/>
            </w:tcBorders>
            <w:shd w:val="clear" w:color="auto" w:fill="auto"/>
            <w:hideMark/>
          </w:tcPr>
          <w:p w14:paraId="658CD9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E8B8FA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AA43F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17DA1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Engagement Prompts: </w:t>
            </w:r>
          </w:p>
        </w:tc>
        <w:tc>
          <w:tcPr>
            <w:tcW w:w="6762" w:type="dxa"/>
            <w:tcBorders>
              <w:top w:val="nil"/>
              <w:left w:val="nil"/>
              <w:bottom w:val="single" w:sz="4" w:space="0" w:color="auto"/>
              <w:right w:val="single" w:sz="4" w:space="0" w:color="auto"/>
            </w:tcBorders>
            <w:shd w:val="clear" w:color="auto" w:fill="auto"/>
            <w:hideMark/>
          </w:tcPr>
          <w:p w14:paraId="701688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Include prompts for engagement in text updates, such as inviting backers to share their thoughts, ask questions, or provide feedback.</w:t>
            </w:r>
          </w:p>
        </w:tc>
        <w:tc>
          <w:tcPr>
            <w:tcW w:w="2566" w:type="dxa"/>
            <w:tcBorders>
              <w:top w:val="nil"/>
              <w:left w:val="nil"/>
              <w:bottom w:val="single" w:sz="4" w:space="0" w:color="auto"/>
              <w:right w:val="single" w:sz="4" w:space="0" w:color="auto"/>
            </w:tcBorders>
            <w:shd w:val="clear" w:color="auto" w:fill="auto"/>
            <w:hideMark/>
          </w:tcPr>
          <w:p w14:paraId="2B7264A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450F2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B134D6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8DC17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Accessibility: </w:t>
            </w:r>
          </w:p>
        </w:tc>
        <w:tc>
          <w:tcPr>
            <w:tcW w:w="6762" w:type="dxa"/>
            <w:tcBorders>
              <w:top w:val="nil"/>
              <w:left w:val="nil"/>
              <w:bottom w:val="single" w:sz="4" w:space="0" w:color="auto"/>
              <w:right w:val="single" w:sz="4" w:space="0" w:color="auto"/>
            </w:tcBorders>
            <w:shd w:val="clear" w:color="auto" w:fill="auto"/>
            <w:hideMark/>
          </w:tcPr>
          <w:p w14:paraId="3F44940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Ensure that text updates are easily accessible to all backers, whether through email newsletters, social media posts, or the campaign website.</w:t>
            </w:r>
          </w:p>
        </w:tc>
        <w:tc>
          <w:tcPr>
            <w:tcW w:w="2566" w:type="dxa"/>
            <w:tcBorders>
              <w:top w:val="nil"/>
              <w:left w:val="nil"/>
              <w:bottom w:val="single" w:sz="4" w:space="0" w:color="auto"/>
              <w:right w:val="single" w:sz="4" w:space="0" w:color="auto"/>
            </w:tcBorders>
            <w:shd w:val="clear" w:color="auto" w:fill="auto"/>
            <w:hideMark/>
          </w:tcPr>
          <w:p w14:paraId="44F0A7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E754A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76475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EE8B3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Videos:</w:t>
            </w:r>
          </w:p>
        </w:tc>
        <w:tc>
          <w:tcPr>
            <w:tcW w:w="6762" w:type="dxa"/>
            <w:tcBorders>
              <w:top w:val="nil"/>
              <w:left w:val="nil"/>
              <w:bottom w:val="single" w:sz="4" w:space="0" w:color="auto"/>
              <w:right w:val="single" w:sz="4" w:space="0" w:color="auto"/>
            </w:tcBorders>
            <w:shd w:val="clear" w:color="auto" w:fill="auto"/>
            <w:hideMark/>
          </w:tcPr>
          <w:p w14:paraId="5160A6F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3F1F2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B7CA5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CA71E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3C7A5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Purposeful Content: </w:t>
            </w:r>
          </w:p>
        </w:tc>
        <w:tc>
          <w:tcPr>
            <w:tcW w:w="6762" w:type="dxa"/>
            <w:tcBorders>
              <w:top w:val="nil"/>
              <w:left w:val="nil"/>
              <w:bottom w:val="single" w:sz="4" w:space="0" w:color="auto"/>
              <w:right w:val="single" w:sz="4" w:space="0" w:color="auto"/>
            </w:tcBorders>
            <w:shd w:val="clear" w:color="auto" w:fill="auto"/>
            <w:hideMark/>
          </w:tcPr>
          <w:p w14:paraId="652E099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videos with specific objectives in mind, such as introducing the project team, showcasing project developments, or explaining complex concepts in an accessible manner.</w:t>
            </w:r>
          </w:p>
        </w:tc>
        <w:tc>
          <w:tcPr>
            <w:tcW w:w="2566" w:type="dxa"/>
            <w:tcBorders>
              <w:top w:val="nil"/>
              <w:left w:val="nil"/>
              <w:bottom w:val="single" w:sz="4" w:space="0" w:color="auto"/>
              <w:right w:val="single" w:sz="4" w:space="0" w:color="auto"/>
            </w:tcBorders>
            <w:shd w:val="clear" w:color="auto" w:fill="auto"/>
            <w:hideMark/>
          </w:tcPr>
          <w:p w14:paraId="323393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A1896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8DA888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B3A47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Engaging Visuals: </w:t>
            </w:r>
          </w:p>
        </w:tc>
        <w:tc>
          <w:tcPr>
            <w:tcW w:w="6762" w:type="dxa"/>
            <w:tcBorders>
              <w:top w:val="nil"/>
              <w:left w:val="nil"/>
              <w:bottom w:val="single" w:sz="4" w:space="0" w:color="auto"/>
              <w:right w:val="single" w:sz="4" w:space="0" w:color="auto"/>
            </w:tcBorders>
            <w:shd w:val="clear" w:color="auto" w:fill="auto"/>
            <w:hideMark/>
          </w:tcPr>
          <w:p w14:paraId="40BA314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high-quality visuals, animations, and graphics to enhance the visual appeal of videos and capture the attention of viewers.</w:t>
            </w:r>
          </w:p>
        </w:tc>
        <w:tc>
          <w:tcPr>
            <w:tcW w:w="2566" w:type="dxa"/>
            <w:tcBorders>
              <w:top w:val="nil"/>
              <w:left w:val="nil"/>
              <w:bottom w:val="single" w:sz="4" w:space="0" w:color="auto"/>
              <w:right w:val="single" w:sz="4" w:space="0" w:color="auto"/>
            </w:tcBorders>
            <w:shd w:val="clear" w:color="auto" w:fill="auto"/>
            <w:hideMark/>
          </w:tcPr>
          <w:p w14:paraId="4200E0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C663C9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E2207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93BCD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Storytelling: </w:t>
            </w:r>
          </w:p>
        </w:tc>
        <w:tc>
          <w:tcPr>
            <w:tcW w:w="6762" w:type="dxa"/>
            <w:tcBorders>
              <w:top w:val="nil"/>
              <w:left w:val="nil"/>
              <w:bottom w:val="single" w:sz="4" w:space="0" w:color="auto"/>
              <w:right w:val="single" w:sz="4" w:space="0" w:color="auto"/>
            </w:tcBorders>
            <w:shd w:val="clear" w:color="auto" w:fill="auto"/>
            <w:hideMark/>
          </w:tcPr>
          <w:p w14:paraId="00C14A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storytelling techniques to convey the project's narrative, mission, and impact effectively, resonating with viewers on an emotional level.</w:t>
            </w:r>
          </w:p>
        </w:tc>
        <w:tc>
          <w:tcPr>
            <w:tcW w:w="2566" w:type="dxa"/>
            <w:tcBorders>
              <w:top w:val="nil"/>
              <w:left w:val="nil"/>
              <w:bottom w:val="single" w:sz="4" w:space="0" w:color="auto"/>
              <w:right w:val="single" w:sz="4" w:space="0" w:color="auto"/>
            </w:tcBorders>
            <w:shd w:val="clear" w:color="auto" w:fill="auto"/>
            <w:hideMark/>
          </w:tcPr>
          <w:p w14:paraId="1256862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846E9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92F8D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4762B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Diverse Formats: </w:t>
            </w:r>
          </w:p>
        </w:tc>
        <w:tc>
          <w:tcPr>
            <w:tcW w:w="6762" w:type="dxa"/>
            <w:tcBorders>
              <w:top w:val="nil"/>
              <w:left w:val="nil"/>
              <w:bottom w:val="single" w:sz="4" w:space="0" w:color="auto"/>
              <w:right w:val="single" w:sz="4" w:space="0" w:color="auto"/>
            </w:tcBorders>
            <w:shd w:val="clear" w:color="auto" w:fill="auto"/>
            <w:hideMark/>
          </w:tcPr>
          <w:p w14:paraId="5DA27EC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Experiment with different video formats, including project updates, interviews with team members or experts, tutorial videos, and promotional teasers.</w:t>
            </w:r>
          </w:p>
        </w:tc>
        <w:tc>
          <w:tcPr>
            <w:tcW w:w="2566" w:type="dxa"/>
            <w:tcBorders>
              <w:top w:val="nil"/>
              <w:left w:val="nil"/>
              <w:bottom w:val="single" w:sz="4" w:space="0" w:color="auto"/>
              <w:right w:val="single" w:sz="4" w:space="0" w:color="auto"/>
            </w:tcBorders>
            <w:shd w:val="clear" w:color="auto" w:fill="auto"/>
            <w:hideMark/>
          </w:tcPr>
          <w:p w14:paraId="3DE753B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C9DEA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994B85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7158C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Elements: </w:t>
            </w:r>
          </w:p>
        </w:tc>
        <w:tc>
          <w:tcPr>
            <w:tcW w:w="6762" w:type="dxa"/>
            <w:tcBorders>
              <w:top w:val="nil"/>
              <w:left w:val="nil"/>
              <w:bottom w:val="single" w:sz="4" w:space="0" w:color="auto"/>
              <w:right w:val="single" w:sz="4" w:space="0" w:color="auto"/>
            </w:tcBorders>
            <w:shd w:val="clear" w:color="auto" w:fill="auto"/>
            <w:hideMark/>
          </w:tcPr>
          <w:p w14:paraId="5C68468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Incorporate interactive elements into videos, such as clickable links, polls, or annotations, to encourage viewer engagement and participation.</w:t>
            </w:r>
          </w:p>
        </w:tc>
        <w:tc>
          <w:tcPr>
            <w:tcW w:w="2566" w:type="dxa"/>
            <w:tcBorders>
              <w:top w:val="nil"/>
              <w:left w:val="nil"/>
              <w:bottom w:val="single" w:sz="4" w:space="0" w:color="auto"/>
              <w:right w:val="single" w:sz="4" w:space="0" w:color="auto"/>
            </w:tcBorders>
            <w:shd w:val="clear" w:color="auto" w:fill="auto"/>
            <w:hideMark/>
          </w:tcPr>
          <w:p w14:paraId="276585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1436C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76EE7A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BA0D2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Infographics:</w:t>
            </w:r>
          </w:p>
        </w:tc>
        <w:tc>
          <w:tcPr>
            <w:tcW w:w="6762" w:type="dxa"/>
            <w:tcBorders>
              <w:top w:val="nil"/>
              <w:left w:val="nil"/>
              <w:bottom w:val="single" w:sz="4" w:space="0" w:color="auto"/>
              <w:right w:val="single" w:sz="4" w:space="0" w:color="auto"/>
            </w:tcBorders>
            <w:shd w:val="clear" w:color="auto" w:fill="auto"/>
            <w:hideMark/>
          </w:tcPr>
          <w:p w14:paraId="10971A9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FE4A82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3A9BD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C85B91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19C66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Data Visualization: </w:t>
            </w:r>
          </w:p>
        </w:tc>
        <w:tc>
          <w:tcPr>
            <w:tcW w:w="6762" w:type="dxa"/>
            <w:tcBorders>
              <w:top w:val="nil"/>
              <w:left w:val="nil"/>
              <w:bottom w:val="single" w:sz="4" w:space="0" w:color="auto"/>
              <w:right w:val="single" w:sz="4" w:space="0" w:color="auto"/>
            </w:tcBorders>
            <w:shd w:val="clear" w:color="auto" w:fill="auto"/>
            <w:hideMark/>
          </w:tcPr>
          <w:p w14:paraId="34DD0F6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infographics to visually represent complex data, statistics, or project metrics in a clear and understandable format.</w:t>
            </w:r>
          </w:p>
        </w:tc>
        <w:tc>
          <w:tcPr>
            <w:tcW w:w="2566" w:type="dxa"/>
            <w:tcBorders>
              <w:top w:val="nil"/>
              <w:left w:val="nil"/>
              <w:bottom w:val="single" w:sz="4" w:space="0" w:color="auto"/>
              <w:right w:val="single" w:sz="4" w:space="0" w:color="auto"/>
            </w:tcBorders>
            <w:shd w:val="clear" w:color="auto" w:fill="auto"/>
            <w:hideMark/>
          </w:tcPr>
          <w:p w14:paraId="1FA4757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00B52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A7A340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2A694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Key Highlights: </w:t>
            </w:r>
          </w:p>
        </w:tc>
        <w:tc>
          <w:tcPr>
            <w:tcW w:w="6762" w:type="dxa"/>
            <w:tcBorders>
              <w:top w:val="nil"/>
              <w:left w:val="nil"/>
              <w:bottom w:val="single" w:sz="4" w:space="0" w:color="auto"/>
              <w:right w:val="single" w:sz="4" w:space="0" w:color="auto"/>
            </w:tcBorders>
            <w:shd w:val="clear" w:color="auto" w:fill="auto"/>
            <w:hideMark/>
          </w:tcPr>
          <w:p w14:paraId="1F15A1E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Highlight key achievements, milestones, or progress updates through visually appealing charts, graphs, or diagrams.</w:t>
            </w:r>
          </w:p>
        </w:tc>
        <w:tc>
          <w:tcPr>
            <w:tcW w:w="2566" w:type="dxa"/>
            <w:tcBorders>
              <w:top w:val="nil"/>
              <w:left w:val="nil"/>
              <w:bottom w:val="single" w:sz="4" w:space="0" w:color="auto"/>
              <w:right w:val="single" w:sz="4" w:space="0" w:color="auto"/>
            </w:tcBorders>
            <w:shd w:val="clear" w:color="auto" w:fill="auto"/>
            <w:hideMark/>
          </w:tcPr>
          <w:p w14:paraId="1BF033D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849C17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B32D6B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64D94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Shareability: </w:t>
            </w:r>
          </w:p>
        </w:tc>
        <w:tc>
          <w:tcPr>
            <w:tcW w:w="6762" w:type="dxa"/>
            <w:tcBorders>
              <w:top w:val="nil"/>
              <w:left w:val="nil"/>
              <w:bottom w:val="single" w:sz="4" w:space="0" w:color="auto"/>
              <w:right w:val="single" w:sz="4" w:space="0" w:color="auto"/>
            </w:tcBorders>
            <w:shd w:val="clear" w:color="auto" w:fill="auto"/>
            <w:hideMark/>
          </w:tcPr>
          <w:p w14:paraId="5FEFDFE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Design infographics that are easily shareable on social media platforms, allowing backers to disseminate project information within their networks.</w:t>
            </w:r>
          </w:p>
        </w:tc>
        <w:tc>
          <w:tcPr>
            <w:tcW w:w="2566" w:type="dxa"/>
            <w:tcBorders>
              <w:top w:val="nil"/>
              <w:left w:val="nil"/>
              <w:bottom w:val="single" w:sz="4" w:space="0" w:color="auto"/>
              <w:right w:val="single" w:sz="4" w:space="0" w:color="auto"/>
            </w:tcBorders>
            <w:shd w:val="clear" w:color="auto" w:fill="auto"/>
            <w:hideMark/>
          </w:tcPr>
          <w:p w14:paraId="106E088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67C99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08FC25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1EF10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Educational Content: </w:t>
            </w:r>
          </w:p>
        </w:tc>
        <w:tc>
          <w:tcPr>
            <w:tcW w:w="6762" w:type="dxa"/>
            <w:tcBorders>
              <w:top w:val="nil"/>
              <w:left w:val="nil"/>
              <w:bottom w:val="single" w:sz="4" w:space="0" w:color="auto"/>
              <w:right w:val="single" w:sz="4" w:space="0" w:color="auto"/>
            </w:tcBorders>
            <w:shd w:val="clear" w:color="auto" w:fill="auto"/>
            <w:hideMark/>
          </w:tcPr>
          <w:p w14:paraId="7C114B3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infographics as educational tools to explain technical concepts, project goals, or the significance of prime numbers in a visually engaging manner.</w:t>
            </w:r>
          </w:p>
        </w:tc>
        <w:tc>
          <w:tcPr>
            <w:tcW w:w="2566" w:type="dxa"/>
            <w:tcBorders>
              <w:top w:val="nil"/>
              <w:left w:val="nil"/>
              <w:bottom w:val="single" w:sz="4" w:space="0" w:color="auto"/>
              <w:right w:val="single" w:sz="4" w:space="0" w:color="auto"/>
            </w:tcBorders>
            <w:shd w:val="clear" w:color="auto" w:fill="auto"/>
            <w:hideMark/>
          </w:tcPr>
          <w:p w14:paraId="3E7F8D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F4597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EACDF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09D5B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Branding: </w:t>
            </w:r>
          </w:p>
        </w:tc>
        <w:tc>
          <w:tcPr>
            <w:tcW w:w="6762" w:type="dxa"/>
            <w:tcBorders>
              <w:top w:val="nil"/>
              <w:left w:val="nil"/>
              <w:bottom w:val="single" w:sz="4" w:space="0" w:color="auto"/>
              <w:right w:val="single" w:sz="4" w:space="0" w:color="auto"/>
            </w:tcBorders>
            <w:shd w:val="clear" w:color="auto" w:fill="auto"/>
            <w:hideMark/>
          </w:tcPr>
          <w:p w14:paraId="4958494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Ensure that infographics align with the campaign's branding guidelines in terms of color scheme, typography, and visual style.</w:t>
            </w:r>
          </w:p>
        </w:tc>
        <w:tc>
          <w:tcPr>
            <w:tcW w:w="2566" w:type="dxa"/>
            <w:tcBorders>
              <w:top w:val="nil"/>
              <w:left w:val="nil"/>
              <w:bottom w:val="single" w:sz="4" w:space="0" w:color="auto"/>
              <w:right w:val="single" w:sz="4" w:space="0" w:color="auto"/>
            </w:tcBorders>
            <w:shd w:val="clear" w:color="auto" w:fill="auto"/>
            <w:hideMark/>
          </w:tcPr>
          <w:p w14:paraId="5B0048C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025A9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D1961B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C7168D"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Live Streams:</w:t>
            </w:r>
          </w:p>
        </w:tc>
        <w:tc>
          <w:tcPr>
            <w:tcW w:w="6762" w:type="dxa"/>
            <w:tcBorders>
              <w:top w:val="nil"/>
              <w:left w:val="nil"/>
              <w:bottom w:val="single" w:sz="4" w:space="0" w:color="auto"/>
              <w:right w:val="single" w:sz="4" w:space="0" w:color="auto"/>
            </w:tcBorders>
            <w:shd w:val="clear" w:color="auto" w:fill="auto"/>
            <w:hideMark/>
          </w:tcPr>
          <w:p w14:paraId="7DB9145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04DFD7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03D8A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459EC7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8D2092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Real-Time Interaction: </w:t>
            </w:r>
          </w:p>
        </w:tc>
        <w:tc>
          <w:tcPr>
            <w:tcW w:w="6762" w:type="dxa"/>
            <w:tcBorders>
              <w:top w:val="nil"/>
              <w:left w:val="nil"/>
              <w:bottom w:val="single" w:sz="4" w:space="0" w:color="auto"/>
              <w:right w:val="single" w:sz="4" w:space="0" w:color="auto"/>
            </w:tcBorders>
            <w:shd w:val="clear" w:color="auto" w:fill="auto"/>
            <w:hideMark/>
          </w:tcPr>
          <w:p w14:paraId="6CB6926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Host live streams to provide real-time updates, Q&amp;A sessions, or behind-the-scenes glimpses of project activities.</w:t>
            </w:r>
          </w:p>
        </w:tc>
        <w:tc>
          <w:tcPr>
            <w:tcW w:w="2566" w:type="dxa"/>
            <w:tcBorders>
              <w:top w:val="nil"/>
              <w:left w:val="nil"/>
              <w:bottom w:val="single" w:sz="4" w:space="0" w:color="auto"/>
              <w:right w:val="single" w:sz="4" w:space="0" w:color="auto"/>
            </w:tcBorders>
            <w:shd w:val="clear" w:color="auto" w:fill="auto"/>
            <w:hideMark/>
          </w:tcPr>
          <w:p w14:paraId="331B8D2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16011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59C63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B9598A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Engagement Opportunities: </w:t>
            </w:r>
          </w:p>
        </w:tc>
        <w:tc>
          <w:tcPr>
            <w:tcW w:w="6762" w:type="dxa"/>
            <w:tcBorders>
              <w:top w:val="nil"/>
              <w:left w:val="nil"/>
              <w:bottom w:val="single" w:sz="4" w:space="0" w:color="auto"/>
              <w:right w:val="single" w:sz="4" w:space="0" w:color="auto"/>
            </w:tcBorders>
            <w:shd w:val="clear" w:color="auto" w:fill="auto"/>
            <w:hideMark/>
          </w:tcPr>
          <w:p w14:paraId="150D25D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viewer participation during live streams by responding to questions, comments, and feedback in real-time.</w:t>
            </w:r>
          </w:p>
        </w:tc>
        <w:tc>
          <w:tcPr>
            <w:tcW w:w="2566" w:type="dxa"/>
            <w:tcBorders>
              <w:top w:val="nil"/>
              <w:left w:val="nil"/>
              <w:bottom w:val="single" w:sz="4" w:space="0" w:color="auto"/>
              <w:right w:val="single" w:sz="4" w:space="0" w:color="auto"/>
            </w:tcBorders>
            <w:shd w:val="clear" w:color="auto" w:fill="auto"/>
            <w:hideMark/>
          </w:tcPr>
          <w:p w14:paraId="347087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536C2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33485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EDB2A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Scheduled Events: </w:t>
            </w:r>
          </w:p>
        </w:tc>
        <w:tc>
          <w:tcPr>
            <w:tcW w:w="6762" w:type="dxa"/>
            <w:tcBorders>
              <w:top w:val="nil"/>
              <w:left w:val="nil"/>
              <w:bottom w:val="single" w:sz="4" w:space="0" w:color="auto"/>
              <w:right w:val="single" w:sz="4" w:space="0" w:color="auto"/>
            </w:tcBorders>
            <w:shd w:val="clear" w:color="auto" w:fill="auto"/>
            <w:hideMark/>
          </w:tcPr>
          <w:p w14:paraId="59EB976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Schedule live streams at regular intervals to maintain audience engagement and anticipation, promoting them through social media and email newsletters.</w:t>
            </w:r>
          </w:p>
        </w:tc>
        <w:tc>
          <w:tcPr>
            <w:tcW w:w="2566" w:type="dxa"/>
            <w:tcBorders>
              <w:top w:val="nil"/>
              <w:left w:val="nil"/>
              <w:bottom w:val="single" w:sz="4" w:space="0" w:color="auto"/>
              <w:right w:val="single" w:sz="4" w:space="0" w:color="auto"/>
            </w:tcBorders>
            <w:shd w:val="clear" w:color="auto" w:fill="auto"/>
            <w:hideMark/>
          </w:tcPr>
          <w:p w14:paraId="3E1BD8A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B88D6D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46863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AB644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Features: </w:t>
            </w:r>
          </w:p>
        </w:tc>
        <w:tc>
          <w:tcPr>
            <w:tcW w:w="6762" w:type="dxa"/>
            <w:tcBorders>
              <w:top w:val="nil"/>
              <w:left w:val="nil"/>
              <w:bottom w:val="single" w:sz="4" w:space="0" w:color="auto"/>
              <w:right w:val="single" w:sz="4" w:space="0" w:color="auto"/>
            </w:tcBorders>
            <w:shd w:val="clear" w:color="auto" w:fill="auto"/>
            <w:hideMark/>
          </w:tcPr>
          <w:p w14:paraId="61339B4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interactive features during live streams, such as polls, quizzes, or interactive chats, to facilitate viewer engagement and interaction.</w:t>
            </w:r>
          </w:p>
        </w:tc>
        <w:tc>
          <w:tcPr>
            <w:tcW w:w="2566" w:type="dxa"/>
            <w:tcBorders>
              <w:top w:val="nil"/>
              <w:left w:val="nil"/>
              <w:bottom w:val="single" w:sz="4" w:space="0" w:color="auto"/>
              <w:right w:val="single" w:sz="4" w:space="0" w:color="auto"/>
            </w:tcBorders>
            <w:shd w:val="clear" w:color="auto" w:fill="auto"/>
            <w:hideMark/>
          </w:tcPr>
          <w:p w14:paraId="13D8498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25CFD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BA6F56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F2187F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Archived Content: </w:t>
            </w:r>
          </w:p>
        </w:tc>
        <w:tc>
          <w:tcPr>
            <w:tcW w:w="6762" w:type="dxa"/>
            <w:tcBorders>
              <w:top w:val="nil"/>
              <w:left w:val="nil"/>
              <w:bottom w:val="single" w:sz="4" w:space="0" w:color="auto"/>
              <w:right w:val="single" w:sz="4" w:space="0" w:color="auto"/>
            </w:tcBorders>
            <w:shd w:val="clear" w:color="auto" w:fill="auto"/>
            <w:hideMark/>
          </w:tcPr>
          <w:p w14:paraId="546B2D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Make recorded live streams available for viewing after the event to accommodate backers who may have missed the live broadcast.</w:t>
            </w:r>
          </w:p>
        </w:tc>
        <w:tc>
          <w:tcPr>
            <w:tcW w:w="2566" w:type="dxa"/>
            <w:tcBorders>
              <w:top w:val="nil"/>
              <w:left w:val="nil"/>
              <w:bottom w:val="single" w:sz="4" w:space="0" w:color="auto"/>
              <w:right w:val="single" w:sz="4" w:space="0" w:color="auto"/>
            </w:tcBorders>
            <w:shd w:val="clear" w:color="auto" w:fill="auto"/>
            <w:hideMark/>
          </w:tcPr>
          <w:p w14:paraId="2EB04A7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A77E4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1A404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5A5E6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Prime Experience Portal:</w:t>
            </w:r>
          </w:p>
        </w:tc>
        <w:tc>
          <w:tcPr>
            <w:tcW w:w="6762" w:type="dxa"/>
            <w:tcBorders>
              <w:top w:val="nil"/>
              <w:left w:val="nil"/>
              <w:bottom w:val="single" w:sz="4" w:space="0" w:color="auto"/>
              <w:right w:val="single" w:sz="4" w:space="0" w:color="auto"/>
            </w:tcBorders>
            <w:shd w:val="clear" w:color="auto" w:fill="auto"/>
            <w:hideMark/>
          </w:tcPr>
          <w:p w14:paraId="11E3AAE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61EFB9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38547D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DA3D47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19AF7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Centralized Hub: </w:t>
            </w:r>
          </w:p>
        </w:tc>
        <w:tc>
          <w:tcPr>
            <w:tcW w:w="6762" w:type="dxa"/>
            <w:tcBorders>
              <w:top w:val="nil"/>
              <w:left w:val="nil"/>
              <w:bottom w:val="single" w:sz="4" w:space="0" w:color="auto"/>
              <w:right w:val="single" w:sz="4" w:space="0" w:color="auto"/>
            </w:tcBorders>
            <w:shd w:val="clear" w:color="auto" w:fill="auto"/>
            <w:hideMark/>
          </w:tcPr>
          <w:p w14:paraId="516C6B5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a dedicated section on the campaign website or PrimeBookOne app called the "Prime Experience Portal," where backers can access all engagement content in one place.</w:t>
            </w:r>
          </w:p>
        </w:tc>
        <w:tc>
          <w:tcPr>
            <w:tcW w:w="2566" w:type="dxa"/>
            <w:tcBorders>
              <w:top w:val="nil"/>
              <w:left w:val="nil"/>
              <w:bottom w:val="single" w:sz="4" w:space="0" w:color="auto"/>
              <w:right w:val="single" w:sz="4" w:space="0" w:color="auto"/>
            </w:tcBorders>
            <w:shd w:val="clear" w:color="auto" w:fill="auto"/>
            <w:hideMark/>
          </w:tcPr>
          <w:p w14:paraId="475E30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EA35F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B217D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C6A72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Organized Categories: </w:t>
            </w:r>
          </w:p>
        </w:tc>
        <w:tc>
          <w:tcPr>
            <w:tcW w:w="6762" w:type="dxa"/>
            <w:tcBorders>
              <w:top w:val="nil"/>
              <w:left w:val="nil"/>
              <w:bottom w:val="single" w:sz="4" w:space="0" w:color="auto"/>
              <w:right w:val="single" w:sz="4" w:space="0" w:color="auto"/>
            </w:tcBorders>
            <w:shd w:val="clear" w:color="auto" w:fill="auto"/>
            <w:hideMark/>
          </w:tcPr>
          <w:p w14:paraId="66063C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content within the Prime Experience Portal into categories such as text updates, videos, infographics, and live streams for easy navigation and access.</w:t>
            </w:r>
          </w:p>
        </w:tc>
        <w:tc>
          <w:tcPr>
            <w:tcW w:w="2566" w:type="dxa"/>
            <w:tcBorders>
              <w:top w:val="nil"/>
              <w:left w:val="nil"/>
              <w:bottom w:val="single" w:sz="4" w:space="0" w:color="auto"/>
              <w:right w:val="single" w:sz="4" w:space="0" w:color="auto"/>
            </w:tcBorders>
            <w:shd w:val="clear" w:color="auto" w:fill="auto"/>
            <w:hideMark/>
          </w:tcPr>
          <w:p w14:paraId="185898C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BE865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924B0C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9F762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Search Functionality: </w:t>
            </w:r>
          </w:p>
        </w:tc>
        <w:tc>
          <w:tcPr>
            <w:tcW w:w="6762" w:type="dxa"/>
            <w:tcBorders>
              <w:top w:val="nil"/>
              <w:left w:val="nil"/>
              <w:bottom w:val="single" w:sz="4" w:space="0" w:color="auto"/>
              <w:right w:val="single" w:sz="4" w:space="0" w:color="auto"/>
            </w:tcBorders>
            <w:shd w:val="clear" w:color="auto" w:fill="auto"/>
            <w:hideMark/>
          </w:tcPr>
          <w:p w14:paraId="43855DA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Implement a search function within the Prime Experience Portal to allow backers to find specific content quickly and efficiently.</w:t>
            </w:r>
          </w:p>
        </w:tc>
        <w:tc>
          <w:tcPr>
            <w:tcW w:w="2566" w:type="dxa"/>
            <w:tcBorders>
              <w:top w:val="nil"/>
              <w:left w:val="nil"/>
              <w:bottom w:val="single" w:sz="4" w:space="0" w:color="auto"/>
              <w:right w:val="single" w:sz="4" w:space="0" w:color="auto"/>
            </w:tcBorders>
            <w:shd w:val="clear" w:color="auto" w:fill="auto"/>
            <w:hideMark/>
          </w:tcPr>
          <w:p w14:paraId="6E67EB6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977C3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F33986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69C1F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Mechanism: </w:t>
            </w:r>
          </w:p>
        </w:tc>
        <w:tc>
          <w:tcPr>
            <w:tcW w:w="6762" w:type="dxa"/>
            <w:tcBorders>
              <w:top w:val="nil"/>
              <w:left w:val="nil"/>
              <w:bottom w:val="single" w:sz="4" w:space="0" w:color="auto"/>
              <w:right w:val="single" w:sz="4" w:space="0" w:color="auto"/>
            </w:tcBorders>
            <w:shd w:val="clear" w:color="auto" w:fill="auto"/>
            <w:hideMark/>
          </w:tcPr>
          <w:p w14:paraId="4942FCD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Include a feedback mechanism within the portal, such as a comment section or feedback form, for backers to share their thoughts, suggestions, and questions.</w:t>
            </w:r>
          </w:p>
        </w:tc>
        <w:tc>
          <w:tcPr>
            <w:tcW w:w="2566" w:type="dxa"/>
            <w:tcBorders>
              <w:top w:val="nil"/>
              <w:left w:val="nil"/>
              <w:bottom w:val="single" w:sz="4" w:space="0" w:color="auto"/>
              <w:right w:val="single" w:sz="4" w:space="0" w:color="auto"/>
            </w:tcBorders>
            <w:shd w:val="clear" w:color="auto" w:fill="auto"/>
            <w:hideMark/>
          </w:tcPr>
          <w:p w14:paraId="29E9C0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980D1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98596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ECDAF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3D98FD5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 "Prime Experience" strategy, the campaign can effectively leverage a variety of formats to keep backers informed, engaged, and excited about the project's progress and potential impact.</w:t>
            </w:r>
          </w:p>
        </w:tc>
        <w:tc>
          <w:tcPr>
            <w:tcW w:w="2566" w:type="dxa"/>
            <w:tcBorders>
              <w:top w:val="nil"/>
              <w:left w:val="nil"/>
              <w:bottom w:val="single" w:sz="4" w:space="0" w:color="auto"/>
              <w:right w:val="single" w:sz="4" w:space="0" w:color="auto"/>
            </w:tcBorders>
            <w:shd w:val="clear" w:color="auto" w:fill="auto"/>
            <w:hideMark/>
          </w:tcPr>
          <w:p w14:paraId="313CA5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B7AE4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A3A782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21544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Engagement and Interaction:</w:t>
            </w:r>
          </w:p>
        </w:tc>
        <w:tc>
          <w:tcPr>
            <w:tcW w:w="6762" w:type="dxa"/>
            <w:tcBorders>
              <w:top w:val="nil"/>
              <w:left w:val="nil"/>
              <w:bottom w:val="single" w:sz="4" w:space="0" w:color="auto"/>
              <w:right w:val="single" w:sz="4" w:space="0" w:color="auto"/>
            </w:tcBorders>
            <w:shd w:val="clear" w:color="auto" w:fill="auto"/>
            <w:hideMark/>
          </w:tcPr>
          <w:p w14:paraId="39ABF4C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Share stories, anecdotes, and testimonials from team members, collaborators, and supporters to humanize the project and connect with backers on an emotional level.</w:t>
            </w:r>
          </w:p>
        </w:tc>
        <w:tc>
          <w:tcPr>
            <w:tcW w:w="2566" w:type="dxa"/>
            <w:tcBorders>
              <w:top w:val="nil"/>
              <w:left w:val="nil"/>
              <w:bottom w:val="single" w:sz="4" w:space="0" w:color="auto"/>
              <w:right w:val="single" w:sz="4" w:space="0" w:color="auto"/>
            </w:tcBorders>
            <w:shd w:val="clear" w:color="auto" w:fill="auto"/>
            <w:hideMark/>
          </w:tcPr>
          <w:p w14:paraId="14DA31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Prime Radio On Time podcasts with enthusiasts.</w:t>
            </w:r>
          </w:p>
        </w:tc>
      </w:tr>
      <w:tr w:rsidR="0041317E" w:rsidRPr="0041317E" w14:paraId="132B3D2B" w14:textId="77777777" w:rsidTr="0041317E">
        <w:trPr>
          <w:trHeight w:val="7176"/>
        </w:trPr>
        <w:tc>
          <w:tcPr>
            <w:tcW w:w="1349" w:type="dxa"/>
            <w:tcBorders>
              <w:top w:val="nil"/>
              <w:left w:val="single" w:sz="4" w:space="0" w:color="auto"/>
              <w:bottom w:val="single" w:sz="4" w:space="0" w:color="auto"/>
              <w:right w:val="single" w:sz="4" w:space="0" w:color="auto"/>
            </w:tcBorders>
            <w:shd w:val="clear" w:color="auto" w:fill="auto"/>
            <w:hideMark/>
          </w:tcPr>
          <w:p w14:paraId="4EA575B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A2CA5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The "Prime Radio On Time" podcasts serve as a powerful tool to engage potential backers on an emotional level by sharing stories, anecdotes, and testimonials related to the project. Here's how this strategy can be implemented in extreme detail:</w:t>
            </w:r>
          </w:p>
        </w:tc>
        <w:tc>
          <w:tcPr>
            <w:tcW w:w="6762" w:type="dxa"/>
            <w:tcBorders>
              <w:top w:val="nil"/>
              <w:left w:val="nil"/>
              <w:bottom w:val="single" w:sz="4" w:space="0" w:color="auto"/>
              <w:right w:val="single" w:sz="4" w:space="0" w:color="auto"/>
            </w:tcBorders>
            <w:shd w:val="clear" w:color="auto" w:fill="auto"/>
            <w:hideMark/>
          </w:tcPr>
          <w:p w14:paraId="4C39876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60B86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39E3F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CD6594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62B337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Podcast Content Creation:</w:t>
            </w:r>
          </w:p>
        </w:tc>
        <w:tc>
          <w:tcPr>
            <w:tcW w:w="6762" w:type="dxa"/>
            <w:tcBorders>
              <w:top w:val="nil"/>
              <w:left w:val="nil"/>
              <w:bottom w:val="single" w:sz="4" w:space="0" w:color="auto"/>
              <w:right w:val="single" w:sz="4" w:space="0" w:color="auto"/>
            </w:tcBorders>
            <w:shd w:val="clear" w:color="auto" w:fill="auto"/>
            <w:hideMark/>
          </w:tcPr>
          <w:p w14:paraId="0262F54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968D8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D444E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5EBF66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8591F5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Content Planning: </w:t>
            </w:r>
          </w:p>
        </w:tc>
        <w:tc>
          <w:tcPr>
            <w:tcW w:w="6762" w:type="dxa"/>
            <w:tcBorders>
              <w:top w:val="nil"/>
              <w:left w:val="nil"/>
              <w:bottom w:val="single" w:sz="4" w:space="0" w:color="auto"/>
              <w:right w:val="single" w:sz="4" w:space="0" w:color="auto"/>
            </w:tcBorders>
            <w:shd w:val="clear" w:color="auto" w:fill="auto"/>
            <w:hideMark/>
          </w:tcPr>
          <w:p w14:paraId="7E15315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a structured content plan for each podcast episode, focusing on themes that resonate with the project's goals, achievements, challenges, and impact.</w:t>
            </w:r>
          </w:p>
        </w:tc>
        <w:tc>
          <w:tcPr>
            <w:tcW w:w="2566" w:type="dxa"/>
            <w:tcBorders>
              <w:top w:val="nil"/>
              <w:left w:val="nil"/>
              <w:bottom w:val="single" w:sz="4" w:space="0" w:color="auto"/>
              <w:right w:val="single" w:sz="4" w:space="0" w:color="auto"/>
            </w:tcBorders>
            <w:shd w:val="clear" w:color="auto" w:fill="auto"/>
            <w:hideMark/>
          </w:tcPr>
          <w:p w14:paraId="0E12A86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6F9D2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664FE1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74384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Storytelling: </w:t>
            </w:r>
          </w:p>
        </w:tc>
        <w:tc>
          <w:tcPr>
            <w:tcW w:w="6762" w:type="dxa"/>
            <w:tcBorders>
              <w:top w:val="nil"/>
              <w:left w:val="nil"/>
              <w:bottom w:val="single" w:sz="4" w:space="0" w:color="auto"/>
              <w:right w:val="single" w:sz="4" w:space="0" w:color="auto"/>
            </w:tcBorders>
            <w:shd w:val="clear" w:color="auto" w:fill="auto"/>
            <w:hideMark/>
          </w:tcPr>
          <w:p w14:paraId="549FF51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Craft compelling narratives that highlight the human side of the project, including personal experiences, struggles, triumphs, and moments of inspiration.</w:t>
            </w:r>
          </w:p>
        </w:tc>
        <w:tc>
          <w:tcPr>
            <w:tcW w:w="2566" w:type="dxa"/>
            <w:tcBorders>
              <w:top w:val="nil"/>
              <w:left w:val="nil"/>
              <w:bottom w:val="single" w:sz="4" w:space="0" w:color="auto"/>
              <w:right w:val="single" w:sz="4" w:space="0" w:color="auto"/>
            </w:tcBorders>
            <w:shd w:val="clear" w:color="auto" w:fill="auto"/>
            <w:hideMark/>
          </w:tcPr>
          <w:p w14:paraId="178AC3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4F7CF4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1EC8CE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E73CF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Guest Selection: </w:t>
            </w:r>
          </w:p>
        </w:tc>
        <w:tc>
          <w:tcPr>
            <w:tcW w:w="6762" w:type="dxa"/>
            <w:tcBorders>
              <w:top w:val="nil"/>
              <w:left w:val="nil"/>
              <w:bottom w:val="single" w:sz="4" w:space="0" w:color="auto"/>
              <w:right w:val="single" w:sz="4" w:space="0" w:color="auto"/>
            </w:tcBorders>
            <w:shd w:val="clear" w:color="auto" w:fill="auto"/>
            <w:hideMark/>
          </w:tcPr>
          <w:p w14:paraId="341978C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Invite team members, collaborators, supporters, and enthusiasts to share their stories and insights on the podcast, ensuring a diverse range of perspectives and voices.</w:t>
            </w:r>
          </w:p>
        </w:tc>
        <w:tc>
          <w:tcPr>
            <w:tcW w:w="2566" w:type="dxa"/>
            <w:tcBorders>
              <w:top w:val="nil"/>
              <w:left w:val="nil"/>
              <w:bottom w:val="single" w:sz="4" w:space="0" w:color="auto"/>
              <w:right w:val="single" w:sz="4" w:space="0" w:color="auto"/>
            </w:tcBorders>
            <w:shd w:val="clear" w:color="auto" w:fill="auto"/>
            <w:hideMark/>
          </w:tcPr>
          <w:p w14:paraId="503AA5C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05C493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1D822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B423D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Interview Format: </w:t>
            </w:r>
          </w:p>
        </w:tc>
        <w:tc>
          <w:tcPr>
            <w:tcW w:w="6762" w:type="dxa"/>
            <w:tcBorders>
              <w:top w:val="nil"/>
              <w:left w:val="nil"/>
              <w:bottom w:val="single" w:sz="4" w:space="0" w:color="auto"/>
              <w:right w:val="single" w:sz="4" w:space="0" w:color="auto"/>
            </w:tcBorders>
            <w:shd w:val="clear" w:color="auto" w:fill="auto"/>
            <w:hideMark/>
          </w:tcPr>
          <w:p w14:paraId="08CEF9C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interviews with guests in a conversational and engaging format, allowing for authentic and candid discussions.</w:t>
            </w:r>
          </w:p>
        </w:tc>
        <w:tc>
          <w:tcPr>
            <w:tcW w:w="2566" w:type="dxa"/>
            <w:tcBorders>
              <w:top w:val="nil"/>
              <w:left w:val="nil"/>
              <w:bottom w:val="single" w:sz="4" w:space="0" w:color="auto"/>
              <w:right w:val="single" w:sz="4" w:space="0" w:color="auto"/>
            </w:tcBorders>
            <w:shd w:val="clear" w:color="auto" w:fill="auto"/>
            <w:hideMark/>
          </w:tcPr>
          <w:p w14:paraId="0750C32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AFA2E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F70F7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BDA92FF"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Podcast Production:</w:t>
            </w:r>
          </w:p>
        </w:tc>
        <w:tc>
          <w:tcPr>
            <w:tcW w:w="6762" w:type="dxa"/>
            <w:tcBorders>
              <w:top w:val="nil"/>
              <w:left w:val="nil"/>
              <w:bottom w:val="single" w:sz="4" w:space="0" w:color="auto"/>
              <w:right w:val="single" w:sz="4" w:space="0" w:color="auto"/>
            </w:tcBorders>
            <w:shd w:val="clear" w:color="auto" w:fill="auto"/>
            <w:hideMark/>
          </w:tcPr>
          <w:p w14:paraId="2B4610B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9FCDCC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1E62F6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108559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C9A45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Professional Quality: </w:t>
            </w:r>
          </w:p>
        </w:tc>
        <w:tc>
          <w:tcPr>
            <w:tcW w:w="6762" w:type="dxa"/>
            <w:tcBorders>
              <w:top w:val="nil"/>
              <w:left w:val="nil"/>
              <w:bottom w:val="single" w:sz="4" w:space="0" w:color="auto"/>
              <w:right w:val="single" w:sz="4" w:space="0" w:color="auto"/>
            </w:tcBorders>
            <w:shd w:val="clear" w:color="auto" w:fill="auto"/>
            <w:hideMark/>
          </w:tcPr>
          <w:p w14:paraId="1DB2161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Invest in high-quality audio production equipment and editing software to ensure professional sound quality and production standards for the podcast.</w:t>
            </w:r>
          </w:p>
        </w:tc>
        <w:tc>
          <w:tcPr>
            <w:tcW w:w="2566" w:type="dxa"/>
            <w:tcBorders>
              <w:top w:val="nil"/>
              <w:left w:val="nil"/>
              <w:bottom w:val="single" w:sz="4" w:space="0" w:color="auto"/>
              <w:right w:val="single" w:sz="4" w:space="0" w:color="auto"/>
            </w:tcBorders>
            <w:shd w:val="clear" w:color="auto" w:fill="auto"/>
            <w:hideMark/>
          </w:tcPr>
          <w:p w14:paraId="54072A1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E5B4A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6B5A96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31DC7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Scripting and Editing: </w:t>
            </w:r>
          </w:p>
        </w:tc>
        <w:tc>
          <w:tcPr>
            <w:tcW w:w="6762" w:type="dxa"/>
            <w:tcBorders>
              <w:top w:val="nil"/>
              <w:left w:val="nil"/>
              <w:bottom w:val="single" w:sz="4" w:space="0" w:color="auto"/>
              <w:right w:val="single" w:sz="4" w:space="0" w:color="auto"/>
            </w:tcBorders>
            <w:shd w:val="clear" w:color="auto" w:fill="auto"/>
            <w:hideMark/>
          </w:tcPr>
          <w:p w14:paraId="2DE2C21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Prepare scripts or outlines for podcast episodes to ensure clarity, coherence, and flow in storytelling. Edit episodes carefully to remove any unnecessary pauses, errors, or distractions.</w:t>
            </w:r>
          </w:p>
        </w:tc>
        <w:tc>
          <w:tcPr>
            <w:tcW w:w="2566" w:type="dxa"/>
            <w:tcBorders>
              <w:top w:val="nil"/>
              <w:left w:val="nil"/>
              <w:bottom w:val="single" w:sz="4" w:space="0" w:color="auto"/>
              <w:right w:val="single" w:sz="4" w:space="0" w:color="auto"/>
            </w:tcBorders>
            <w:shd w:val="clear" w:color="auto" w:fill="auto"/>
            <w:hideMark/>
          </w:tcPr>
          <w:p w14:paraId="6F3C49B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0F6A2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55007D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A48A9B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Branding and Graphics: </w:t>
            </w:r>
          </w:p>
        </w:tc>
        <w:tc>
          <w:tcPr>
            <w:tcW w:w="6762" w:type="dxa"/>
            <w:tcBorders>
              <w:top w:val="nil"/>
              <w:left w:val="nil"/>
              <w:bottom w:val="single" w:sz="4" w:space="0" w:color="auto"/>
              <w:right w:val="single" w:sz="4" w:space="0" w:color="auto"/>
            </w:tcBorders>
            <w:shd w:val="clear" w:color="auto" w:fill="auto"/>
            <w:hideMark/>
          </w:tcPr>
          <w:p w14:paraId="60A4256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branded visuals, logos, and graphics for the podcast to enhance its visual appeal and recognition among listeners.</w:t>
            </w:r>
          </w:p>
        </w:tc>
        <w:tc>
          <w:tcPr>
            <w:tcW w:w="2566" w:type="dxa"/>
            <w:tcBorders>
              <w:top w:val="nil"/>
              <w:left w:val="nil"/>
              <w:bottom w:val="single" w:sz="4" w:space="0" w:color="auto"/>
              <w:right w:val="single" w:sz="4" w:space="0" w:color="auto"/>
            </w:tcBorders>
            <w:shd w:val="clear" w:color="auto" w:fill="auto"/>
            <w:hideMark/>
          </w:tcPr>
          <w:p w14:paraId="143AC7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FAE50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067FE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09B9EB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Music and Sound Effects: </w:t>
            </w:r>
          </w:p>
        </w:tc>
        <w:tc>
          <w:tcPr>
            <w:tcW w:w="6762" w:type="dxa"/>
            <w:tcBorders>
              <w:top w:val="nil"/>
              <w:left w:val="nil"/>
              <w:bottom w:val="single" w:sz="4" w:space="0" w:color="auto"/>
              <w:right w:val="single" w:sz="4" w:space="0" w:color="auto"/>
            </w:tcBorders>
            <w:shd w:val="clear" w:color="auto" w:fill="auto"/>
            <w:hideMark/>
          </w:tcPr>
          <w:p w14:paraId="7D25868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Incorporate background music and sound effects to enhance the overall listening experience and evoke emotion.</w:t>
            </w:r>
          </w:p>
        </w:tc>
        <w:tc>
          <w:tcPr>
            <w:tcW w:w="2566" w:type="dxa"/>
            <w:tcBorders>
              <w:top w:val="nil"/>
              <w:left w:val="nil"/>
              <w:bottom w:val="single" w:sz="4" w:space="0" w:color="auto"/>
              <w:right w:val="single" w:sz="4" w:space="0" w:color="auto"/>
            </w:tcBorders>
            <w:shd w:val="clear" w:color="auto" w:fill="auto"/>
            <w:hideMark/>
          </w:tcPr>
          <w:p w14:paraId="23A61ED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D3B240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230B76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F8A1F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Podcast Distribution:</w:t>
            </w:r>
          </w:p>
        </w:tc>
        <w:tc>
          <w:tcPr>
            <w:tcW w:w="6762" w:type="dxa"/>
            <w:tcBorders>
              <w:top w:val="nil"/>
              <w:left w:val="nil"/>
              <w:bottom w:val="single" w:sz="4" w:space="0" w:color="auto"/>
              <w:right w:val="single" w:sz="4" w:space="0" w:color="auto"/>
            </w:tcBorders>
            <w:shd w:val="clear" w:color="auto" w:fill="auto"/>
            <w:hideMark/>
          </w:tcPr>
          <w:p w14:paraId="2A6964E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84FECC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924E7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0E1C7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0B26AF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Platform Selection: </w:t>
            </w:r>
          </w:p>
        </w:tc>
        <w:tc>
          <w:tcPr>
            <w:tcW w:w="6762" w:type="dxa"/>
            <w:tcBorders>
              <w:top w:val="nil"/>
              <w:left w:val="nil"/>
              <w:bottom w:val="single" w:sz="4" w:space="0" w:color="auto"/>
              <w:right w:val="single" w:sz="4" w:space="0" w:color="auto"/>
            </w:tcBorders>
            <w:shd w:val="clear" w:color="auto" w:fill="auto"/>
            <w:hideMark/>
          </w:tcPr>
          <w:p w14:paraId="07BE0BF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Choose appropriate podcast hosting platforms such as Spotify, Apple Podcasts, Google Podcasts, and SoundCloud to reach a wide audience of potential backers.</w:t>
            </w:r>
          </w:p>
        </w:tc>
        <w:tc>
          <w:tcPr>
            <w:tcW w:w="2566" w:type="dxa"/>
            <w:tcBorders>
              <w:top w:val="nil"/>
              <w:left w:val="nil"/>
              <w:bottom w:val="single" w:sz="4" w:space="0" w:color="auto"/>
              <w:right w:val="single" w:sz="4" w:space="0" w:color="auto"/>
            </w:tcBorders>
            <w:shd w:val="clear" w:color="auto" w:fill="auto"/>
            <w:hideMark/>
          </w:tcPr>
          <w:p w14:paraId="20DD51A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46942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8D9A43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7DC28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Regular Schedule: </w:t>
            </w:r>
          </w:p>
        </w:tc>
        <w:tc>
          <w:tcPr>
            <w:tcW w:w="6762" w:type="dxa"/>
            <w:tcBorders>
              <w:top w:val="nil"/>
              <w:left w:val="nil"/>
              <w:bottom w:val="single" w:sz="4" w:space="0" w:color="auto"/>
              <w:right w:val="single" w:sz="4" w:space="0" w:color="auto"/>
            </w:tcBorders>
            <w:shd w:val="clear" w:color="auto" w:fill="auto"/>
            <w:hideMark/>
          </w:tcPr>
          <w:p w14:paraId="439C61C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Establish a consistent schedule for releasing podcast episodes, such as weekly or bi-weekly, to maintain audience engagement and anticipation.</w:t>
            </w:r>
          </w:p>
        </w:tc>
        <w:tc>
          <w:tcPr>
            <w:tcW w:w="2566" w:type="dxa"/>
            <w:tcBorders>
              <w:top w:val="nil"/>
              <w:left w:val="nil"/>
              <w:bottom w:val="single" w:sz="4" w:space="0" w:color="auto"/>
              <w:right w:val="single" w:sz="4" w:space="0" w:color="auto"/>
            </w:tcBorders>
            <w:shd w:val="clear" w:color="auto" w:fill="auto"/>
            <w:hideMark/>
          </w:tcPr>
          <w:p w14:paraId="615FD3A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03003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2ADFB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A76F1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Promotion: </w:t>
            </w:r>
          </w:p>
        </w:tc>
        <w:tc>
          <w:tcPr>
            <w:tcW w:w="6762" w:type="dxa"/>
            <w:tcBorders>
              <w:top w:val="nil"/>
              <w:left w:val="nil"/>
              <w:bottom w:val="single" w:sz="4" w:space="0" w:color="auto"/>
              <w:right w:val="single" w:sz="4" w:space="0" w:color="auto"/>
            </w:tcBorders>
            <w:shd w:val="clear" w:color="auto" w:fill="auto"/>
            <w:hideMark/>
          </w:tcPr>
          <w:p w14:paraId="2D5CDE8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Promote podcast episodes across social media channels, email newsletters, and the campaign website to attract listeners and encourage subscriptions.</w:t>
            </w:r>
          </w:p>
        </w:tc>
        <w:tc>
          <w:tcPr>
            <w:tcW w:w="2566" w:type="dxa"/>
            <w:tcBorders>
              <w:top w:val="nil"/>
              <w:left w:val="nil"/>
              <w:bottom w:val="single" w:sz="4" w:space="0" w:color="auto"/>
              <w:right w:val="single" w:sz="4" w:space="0" w:color="auto"/>
            </w:tcBorders>
            <w:shd w:val="clear" w:color="auto" w:fill="auto"/>
            <w:hideMark/>
          </w:tcPr>
          <w:p w14:paraId="5ED2BF5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53E11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C2CEE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BD72D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Cross-Promotion: </w:t>
            </w:r>
          </w:p>
        </w:tc>
        <w:tc>
          <w:tcPr>
            <w:tcW w:w="6762" w:type="dxa"/>
            <w:tcBorders>
              <w:top w:val="nil"/>
              <w:left w:val="nil"/>
              <w:bottom w:val="single" w:sz="4" w:space="0" w:color="auto"/>
              <w:right w:val="single" w:sz="4" w:space="0" w:color="auto"/>
            </w:tcBorders>
            <w:shd w:val="clear" w:color="auto" w:fill="auto"/>
            <w:hideMark/>
          </w:tcPr>
          <w:p w14:paraId="68EB1D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Collaborate with relevant influencers, organizations, or podcasts in related fields to cross-promote each other's content and reach new audiences.</w:t>
            </w:r>
          </w:p>
        </w:tc>
        <w:tc>
          <w:tcPr>
            <w:tcW w:w="2566" w:type="dxa"/>
            <w:tcBorders>
              <w:top w:val="nil"/>
              <w:left w:val="nil"/>
              <w:bottom w:val="single" w:sz="4" w:space="0" w:color="auto"/>
              <w:right w:val="single" w:sz="4" w:space="0" w:color="auto"/>
            </w:tcBorders>
            <w:shd w:val="clear" w:color="auto" w:fill="auto"/>
            <w:hideMark/>
          </w:tcPr>
          <w:p w14:paraId="1EE467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AD5F2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BEEA28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DE860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Podcast Engagement:</w:t>
            </w:r>
          </w:p>
        </w:tc>
        <w:tc>
          <w:tcPr>
            <w:tcW w:w="6762" w:type="dxa"/>
            <w:tcBorders>
              <w:top w:val="nil"/>
              <w:left w:val="nil"/>
              <w:bottom w:val="single" w:sz="4" w:space="0" w:color="auto"/>
              <w:right w:val="single" w:sz="4" w:space="0" w:color="auto"/>
            </w:tcBorders>
            <w:shd w:val="clear" w:color="auto" w:fill="auto"/>
            <w:hideMark/>
          </w:tcPr>
          <w:p w14:paraId="6FC800E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6D843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79C49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327E2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1E0E4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Listener Interaction: </w:t>
            </w:r>
          </w:p>
        </w:tc>
        <w:tc>
          <w:tcPr>
            <w:tcW w:w="6762" w:type="dxa"/>
            <w:tcBorders>
              <w:top w:val="nil"/>
              <w:left w:val="nil"/>
              <w:bottom w:val="single" w:sz="4" w:space="0" w:color="auto"/>
              <w:right w:val="single" w:sz="4" w:space="0" w:color="auto"/>
            </w:tcBorders>
            <w:shd w:val="clear" w:color="auto" w:fill="auto"/>
            <w:hideMark/>
          </w:tcPr>
          <w:p w14:paraId="5817944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listener interaction and engagement through features such as listener feedback, questions, and comments, which can be addressed in future episodes.</w:t>
            </w:r>
          </w:p>
        </w:tc>
        <w:tc>
          <w:tcPr>
            <w:tcW w:w="2566" w:type="dxa"/>
            <w:tcBorders>
              <w:top w:val="nil"/>
              <w:left w:val="nil"/>
              <w:bottom w:val="single" w:sz="4" w:space="0" w:color="auto"/>
              <w:right w:val="single" w:sz="4" w:space="0" w:color="auto"/>
            </w:tcBorders>
            <w:shd w:val="clear" w:color="auto" w:fill="auto"/>
            <w:hideMark/>
          </w:tcPr>
          <w:p w14:paraId="1B9FA4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11CD5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877B43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4A6AC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Call to Action: </w:t>
            </w:r>
          </w:p>
        </w:tc>
        <w:tc>
          <w:tcPr>
            <w:tcW w:w="6762" w:type="dxa"/>
            <w:tcBorders>
              <w:top w:val="nil"/>
              <w:left w:val="nil"/>
              <w:bottom w:val="single" w:sz="4" w:space="0" w:color="auto"/>
              <w:right w:val="single" w:sz="4" w:space="0" w:color="auto"/>
            </w:tcBorders>
            <w:shd w:val="clear" w:color="auto" w:fill="auto"/>
            <w:hideMark/>
          </w:tcPr>
          <w:p w14:paraId="18EEBC8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Include clear calls to action in each episode, inviting listeners to support the project by contributing to the crowdfunding campaign, sharing the podcast with their networks, or joining the project community.</w:t>
            </w:r>
          </w:p>
        </w:tc>
        <w:tc>
          <w:tcPr>
            <w:tcW w:w="2566" w:type="dxa"/>
            <w:tcBorders>
              <w:top w:val="nil"/>
              <w:left w:val="nil"/>
              <w:bottom w:val="single" w:sz="4" w:space="0" w:color="auto"/>
              <w:right w:val="single" w:sz="4" w:space="0" w:color="auto"/>
            </w:tcBorders>
            <w:shd w:val="clear" w:color="auto" w:fill="auto"/>
            <w:hideMark/>
          </w:tcPr>
          <w:p w14:paraId="19C3E4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FD2C8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4FEBED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ED430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Exclusive Content: </w:t>
            </w:r>
          </w:p>
        </w:tc>
        <w:tc>
          <w:tcPr>
            <w:tcW w:w="6762" w:type="dxa"/>
            <w:tcBorders>
              <w:top w:val="nil"/>
              <w:left w:val="nil"/>
              <w:bottom w:val="single" w:sz="4" w:space="0" w:color="auto"/>
              <w:right w:val="single" w:sz="4" w:space="0" w:color="auto"/>
            </w:tcBorders>
            <w:shd w:val="clear" w:color="auto" w:fill="auto"/>
            <w:hideMark/>
          </w:tcPr>
          <w:p w14:paraId="58326C5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Offer exclusive content or bonus episodes to backers who support the campaign, providing them with additional value and incentives to contribute.</w:t>
            </w:r>
          </w:p>
        </w:tc>
        <w:tc>
          <w:tcPr>
            <w:tcW w:w="2566" w:type="dxa"/>
            <w:tcBorders>
              <w:top w:val="nil"/>
              <w:left w:val="nil"/>
              <w:bottom w:val="single" w:sz="4" w:space="0" w:color="auto"/>
              <w:right w:val="single" w:sz="4" w:space="0" w:color="auto"/>
            </w:tcBorders>
            <w:shd w:val="clear" w:color="auto" w:fill="auto"/>
            <w:hideMark/>
          </w:tcPr>
          <w:p w14:paraId="21723F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A4ECD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9A176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3BCAF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Building: </w:t>
            </w:r>
          </w:p>
        </w:tc>
        <w:tc>
          <w:tcPr>
            <w:tcW w:w="6762" w:type="dxa"/>
            <w:tcBorders>
              <w:top w:val="nil"/>
              <w:left w:val="nil"/>
              <w:bottom w:val="single" w:sz="4" w:space="0" w:color="auto"/>
              <w:right w:val="single" w:sz="4" w:space="0" w:color="auto"/>
            </w:tcBorders>
            <w:shd w:val="clear" w:color="auto" w:fill="auto"/>
            <w:hideMark/>
          </w:tcPr>
          <w:p w14:paraId="3AE6163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the podcast as a platform to build a sense of community among listeners and backers, fostering connections, discussions, and collaborations around the project.</w:t>
            </w:r>
          </w:p>
        </w:tc>
        <w:tc>
          <w:tcPr>
            <w:tcW w:w="2566" w:type="dxa"/>
            <w:tcBorders>
              <w:top w:val="nil"/>
              <w:left w:val="nil"/>
              <w:bottom w:val="single" w:sz="4" w:space="0" w:color="auto"/>
              <w:right w:val="single" w:sz="4" w:space="0" w:color="auto"/>
            </w:tcBorders>
            <w:shd w:val="clear" w:color="auto" w:fill="auto"/>
            <w:hideMark/>
          </w:tcPr>
          <w:p w14:paraId="27EEDD1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EDDE9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F1F99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518F3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Evaluation and Feedback:</w:t>
            </w:r>
          </w:p>
        </w:tc>
        <w:tc>
          <w:tcPr>
            <w:tcW w:w="6762" w:type="dxa"/>
            <w:tcBorders>
              <w:top w:val="nil"/>
              <w:left w:val="nil"/>
              <w:bottom w:val="single" w:sz="4" w:space="0" w:color="auto"/>
              <w:right w:val="single" w:sz="4" w:space="0" w:color="auto"/>
            </w:tcBorders>
            <w:shd w:val="clear" w:color="auto" w:fill="auto"/>
            <w:hideMark/>
          </w:tcPr>
          <w:p w14:paraId="25EFC2E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1468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418917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F8129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120FE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Metrics Tracking: </w:t>
            </w:r>
          </w:p>
        </w:tc>
        <w:tc>
          <w:tcPr>
            <w:tcW w:w="6762" w:type="dxa"/>
            <w:tcBorders>
              <w:top w:val="nil"/>
              <w:left w:val="nil"/>
              <w:bottom w:val="single" w:sz="4" w:space="0" w:color="auto"/>
              <w:right w:val="single" w:sz="4" w:space="0" w:color="auto"/>
            </w:tcBorders>
            <w:shd w:val="clear" w:color="auto" w:fill="auto"/>
            <w:hideMark/>
          </w:tcPr>
          <w:p w14:paraId="54F9D65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key metrics such as listener downloads, engagement rates, and subscriber growth to measure the podcast's impact and effectiveness in engaging potential backers.</w:t>
            </w:r>
          </w:p>
        </w:tc>
        <w:tc>
          <w:tcPr>
            <w:tcW w:w="2566" w:type="dxa"/>
            <w:tcBorders>
              <w:top w:val="nil"/>
              <w:left w:val="nil"/>
              <w:bottom w:val="single" w:sz="4" w:space="0" w:color="auto"/>
              <w:right w:val="single" w:sz="4" w:space="0" w:color="auto"/>
            </w:tcBorders>
            <w:shd w:val="clear" w:color="auto" w:fill="auto"/>
            <w:hideMark/>
          </w:tcPr>
          <w:p w14:paraId="0FA04F8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56C34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D905EE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695053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Listener Surveys: </w:t>
            </w:r>
          </w:p>
        </w:tc>
        <w:tc>
          <w:tcPr>
            <w:tcW w:w="6762" w:type="dxa"/>
            <w:tcBorders>
              <w:top w:val="nil"/>
              <w:left w:val="nil"/>
              <w:bottom w:val="single" w:sz="4" w:space="0" w:color="auto"/>
              <w:right w:val="single" w:sz="4" w:space="0" w:color="auto"/>
            </w:tcBorders>
            <w:shd w:val="clear" w:color="auto" w:fill="auto"/>
            <w:hideMark/>
          </w:tcPr>
          <w:p w14:paraId="4DF5747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Gather feedback from listeners through surveys or polls to understand their preferences, interests, and suggestions for improving the podcast content and format.</w:t>
            </w:r>
          </w:p>
        </w:tc>
        <w:tc>
          <w:tcPr>
            <w:tcW w:w="2566" w:type="dxa"/>
            <w:tcBorders>
              <w:top w:val="nil"/>
              <w:left w:val="nil"/>
              <w:bottom w:val="single" w:sz="4" w:space="0" w:color="auto"/>
              <w:right w:val="single" w:sz="4" w:space="0" w:color="auto"/>
            </w:tcBorders>
            <w:shd w:val="clear" w:color="auto" w:fill="auto"/>
            <w:hideMark/>
          </w:tcPr>
          <w:p w14:paraId="5C817AF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52DF9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18F209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E1FC9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Continuous Improvement: </w:t>
            </w:r>
          </w:p>
        </w:tc>
        <w:tc>
          <w:tcPr>
            <w:tcW w:w="6762" w:type="dxa"/>
            <w:tcBorders>
              <w:top w:val="nil"/>
              <w:left w:val="nil"/>
              <w:bottom w:val="single" w:sz="4" w:space="0" w:color="auto"/>
              <w:right w:val="single" w:sz="4" w:space="0" w:color="auto"/>
            </w:tcBorders>
            <w:shd w:val="clear" w:color="auto" w:fill="auto"/>
            <w:hideMark/>
          </w:tcPr>
          <w:p w14:paraId="0AA3645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insights from listener feedback and performance metrics to iteratively improve the podcast content, production quality, and distribution strategy over time.</w:t>
            </w:r>
          </w:p>
        </w:tc>
        <w:tc>
          <w:tcPr>
            <w:tcW w:w="2566" w:type="dxa"/>
            <w:tcBorders>
              <w:top w:val="nil"/>
              <w:left w:val="nil"/>
              <w:bottom w:val="single" w:sz="4" w:space="0" w:color="auto"/>
              <w:right w:val="single" w:sz="4" w:space="0" w:color="auto"/>
            </w:tcBorders>
            <w:shd w:val="clear" w:color="auto" w:fill="auto"/>
            <w:hideMark/>
          </w:tcPr>
          <w:p w14:paraId="394CA49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C4E3A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25785A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B0536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117C858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 "Prime Radio On Time" podcasts as part of the communication strategy, the campaign can effectively connect with potential backers on an emotional level, humanizing the project and inspiring support for its goals and mission.</w:t>
            </w:r>
          </w:p>
        </w:tc>
        <w:tc>
          <w:tcPr>
            <w:tcW w:w="2566" w:type="dxa"/>
            <w:tcBorders>
              <w:top w:val="nil"/>
              <w:left w:val="nil"/>
              <w:bottom w:val="single" w:sz="4" w:space="0" w:color="auto"/>
              <w:right w:val="single" w:sz="4" w:space="0" w:color="auto"/>
            </w:tcBorders>
            <w:shd w:val="clear" w:color="auto" w:fill="auto"/>
            <w:hideMark/>
          </w:tcPr>
          <w:p w14:paraId="711BC0E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ECE6E5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C5DF6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C84F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Engagement and Interaction:</w:t>
            </w:r>
          </w:p>
        </w:tc>
        <w:tc>
          <w:tcPr>
            <w:tcW w:w="6762" w:type="dxa"/>
            <w:tcBorders>
              <w:top w:val="nil"/>
              <w:left w:val="nil"/>
              <w:bottom w:val="single" w:sz="4" w:space="0" w:color="auto"/>
              <w:right w:val="single" w:sz="4" w:space="0" w:color="auto"/>
            </w:tcBorders>
            <w:shd w:val="clear" w:color="auto" w:fill="auto"/>
            <w:hideMark/>
          </w:tcPr>
          <w:p w14:paraId="3E94FD6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 Solicit feedback, questions, and suggestions from backers to foster a sense of community and collaboration.</w:t>
            </w:r>
          </w:p>
        </w:tc>
        <w:tc>
          <w:tcPr>
            <w:tcW w:w="2566" w:type="dxa"/>
            <w:tcBorders>
              <w:top w:val="nil"/>
              <w:left w:val="nil"/>
              <w:bottom w:val="single" w:sz="4" w:space="0" w:color="auto"/>
              <w:right w:val="single" w:sz="4" w:space="0" w:color="auto"/>
            </w:tcBorders>
            <w:shd w:val="clear" w:color="auto" w:fill="auto"/>
            <w:hideMark/>
          </w:tcPr>
          <w:p w14:paraId="74CB1AC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Prime Examples</w:t>
            </w:r>
          </w:p>
        </w:tc>
      </w:tr>
      <w:tr w:rsidR="0041317E" w:rsidRPr="0041317E" w14:paraId="77D7875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06C3F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CCCBF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B8D077"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implementing the "Prime Examples" strategy involves actively seeking feedback, questions, and suggestions from backers to foster a sense of community and collaboration. Here's an in-depth look at how this can be executed:</w:t>
            </w:r>
          </w:p>
        </w:tc>
        <w:tc>
          <w:tcPr>
            <w:tcW w:w="2566" w:type="dxa"/>
            <w:tcBorders>
              <w:top w:val="nil"/>
              <w:left w:val="nil"/>
              <w:bottom w:val="single" w:sz="4" w:space="0" w:color="auto"/>
              <w:right w:val="single" w:sz="4" w:space="0" w:color="auto"/>
            </w:tcBorders>
            <w:shd w:val="clear" w:color="auto" w:fill="auto"/>
            <w:hideMark/>
          </w:tcPr>
          <w:p w14:paraId="77223EF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9C386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26FF2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AB16B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Feedback Solicitation Process:</w:t>
            </w:r>
          </w:p>
        </w:tc>
        <w:tc>
          <w:tcPr>
            <w:tcW w:w="6762" w:type="dxa"/>
            <w:tcBorders>
              <w:top w:val="nil"/>
              <w:left w:val="nil"/>
              <w:bottom w:val="single" w:sz="4" w:space="0" w:color="auto"/>
              <w:right w:val="single" w:sz="4" w:space="0" w:color="auto"/>
            </w:tcBorders>
            <w:shd w:val="clear" w:color="auto" w:fill="auto"/>
            <w:hideMark/>
          </w:tcPr>
          <w:p w14:paraId="2D927CC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7CA07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40A47E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02D553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2BBC0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Establishing Communication Channels:</w:t>
            </w:r>
          </w:p>
        </w:tc>
        <w:tc>
          <w:tcPr>
            <w:tcW w:w="6762" w:type="dxa"/>
            <w:tcBorders>
              <w:top w:val="nil"/>
              <w:left w:val="nil"/>
              <w:bottom w:val="single" w:sz="4" w:space="0" w:color="auto"/>
              <w:right w:val="single" w:sz="4" w:space="0" w:color="auto"/>
            </w:tcBorders>
            <w:shd w:val="clear" w:color="auto" w:fill="auto"/>
            <w:hideMark/>
          </w:tcPr>
          <w:p w14:paraId="56D8711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7678E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952CFD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9757C6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315AB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Dedicated Platforms: </w:t>
            </w:r>
          </w:p>
        </w:tc>
        <w:tc>
          <w:tcPr>
            <w:tcW w:w="6762" w:type="dxa"/>
            <w:tcBorders>
              <w:top w:val="nil"/>
              <w:left w:val="nil"/>
              <w:bottom w:val="single" w:sz="4" w:space="0" w:color="auto"/>
              <w:right w:val="single" w:sz="4" w:space="0" w:color="auto"/>
            </w:tcBorders>
            <w:shd w:val="clear" w:color="auto" w:fill="auto"/>
            <w:hideMark/>
          </w:tcPr>
          <w:p w14:paraId="3F71471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Create dedicated channels for feedback collection, such as online forums, community discussion boards, or designated sections on the project website.</w:t>
            </w:r>
          </w:p>
        </w:tc>
        <w:tc>
          <w:tcPr>
            <w:tcW w:w="2566" w:type="dxa"/>
            <w:tcBorders>
              <w:top w:val="nil"/>
              <w:left w:val="nil"/>
              <w:bottom w:val="single" w:sz="4" w:space="0" w:color="auto"/>
              <w:right w:val="single" w:sz="4" w:space="0" w:color="auto"/>
            </w:tcBorders>
            <w:shd w:val="clear" w:color="auto" w:fill="auto"/>
            <w:hideMark/>
          </w:tcPr>
          <w:p w14:paraId="77C2055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1D36D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FC35A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A363F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Social Media Engagement: </w:t>
            </w:r>
          </w:p>
        </w:tc>
        <w:tc>
          <w:tcPr>
            <w:tcW w:w="6762" w:type="dxa"/>
            <w:tcBorders>
              <w:top w:val="nil"/>
              <w:left w:val="nil"/>
              <w:bottom w:val="single" w:sz="4" w:space="0" w:color="auto"/>
              <w:right w:val="single" w:sz="4" w:space="0" w:color="auto"/>
            </w:tcBorders>
            <w:shd w:val="clear" w:color="auto" w:fill="auto"/>
            <w:hideMark/>
          </w:tcPr>
          <w:p w14:paraId="0D3EF7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backers to share their feedback and ideas through social media platforms by actively monitoring comments, messages, and mentions.</w:t>
            </w:r>
          </w:p>
        </w:tc>
        <w:tc>
          <w:tcPr>
            <w:tcW w:w="2566" w:type="dxa"/>
            <w:tcBorders>
              <w:top w:val="nil"/>
              <w:left w:val="nil"/>
              <w:bottom w:val="single" w:sz="4" w:space="0" w:color="auto"/>
              <w:right w:val="single" w:sz="4" w:space="0" w:color="auto"/>
            </w:tcBorders>
            <w:shd w:val="clear" w:color="auto" w:fill="auto"/>
            <w:hideMark/>
          </w:tcPr>
          <w:p w14:paraId="439DBB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0F7E0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CCE9A0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F7949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Email Communication: </w:t>
            </w:r>
          </w:p>
        </w:tc>
        <w:tc>
          <w:tcPr>
            <w:tcW w:w="6762" w:type="dxa"/>
            <w:tcBorders>
              <w:top w:val="nil"/>
              <w:left w:val="nil"/>
              <w:bottom w:val="single" w:sz="4" w:space="0" w:color="auto"/>
              <w:right w:val="single" w:sz="4" w:space="0" w:color="auto"/>
            </w:tcBorders>
            <w:shd w:val="clear" w:color="auto" w:fill="auto"/>
            <w:hideMark/>
          </w:tcPr>
          <w:p w14:paraId="010B8E5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Include a feedback section in regular email newsletters where backers can submit their input and suggestions directly.</w:t>
            </w:r>
          </w:p>
        </w:tc>
        <w:tc>
          <w:tcPr>
            <w:tcW w:w="2566" w:type="dxa"/>
            <w:tcBorders>
              <w:top w:val="nil"/>
              <w:left w:val="nil"/>
              <w:bottom w:val="single" w:sz="4" w:space="0" w:color="auto"/>
              <w:right w:val="single" w:sz="4" w:space="0" w:color="auto"/>
            </w:tcBorders>
            <w:shd w:val="clear" w:color="auto" w:fill="auto"/>
            <w:hideMark/>
          </w:tcPr>
          <w:p w14:paraId="335F74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3D764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D6213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89F59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Feedback Collection Mechanisms:</w:t>
            </w:r>
          </w:p>
        </w:tc>
        <w:tc>
          <w:tcPr>
            <w:tcW w:w="6762" w:type="dxa"/>
            <w:tcBorders>
              <w:top w:val="nil"/>
              <w:left w:val="nil"/>
              <w:bottom w:val="single" w:sz="4" w:space="0" w:color="auto"/>
              <w:right w:val="single" w:sz="4" w:space="0" w:color="auto"/>
            </w:tcBorders>
            <w:shd w:val="clear" w:color="auto" w:fill="auto"/>
            <w:hideMark/>
          </w:tcPr>
          <w:p w14:paraId="059F6C3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006281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846E1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BEEDC1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7EC3A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Surveys and Questionnaires: </w:t>
            </w:r>
          </w:p>
        </w:tc>
        <w:tc>
          <w:tcPr>
            <w:tcW w:w="6762" w:type="dxa"/>
            <w:tcBorders>
              <w:top w:val="nil"/>
              <w:left w:val="nil"/>
              <w:bottom w:val="single" w:sz="4" w:space="0" w:color="auto"/>
              <w:right w:val="single" w:sz="4" w:space="0" w:color="auto"/>
            </w:tcBorders>
            <w:shd w:val="clear" w:color="auto" w:fill="auto"/>
            <w:hideMark/>
          </w:tcPr>
          <w:p w14:paraId="6B2417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Design and distribute surveys or questionnaires to backers to gather structured feedback on various aspects of the project, such as product features, campaign messaging, or supporter experience.</w:t>
            </w:r>
          </w:p>
        </w:tc>
        <w:tc>
          <w:tcPr>
            <w:tcW w:w="2566" w:type="dxa"/>
            <w:tcBorders>
              <w:top w:val="nil"/>
              <w:left w:val="nil"/>
              <w:bottom w:val="single" w:sz="4" w:space="0" w:color="auto"/>
              <w:right w:val="single" w:sz="4" w:space="0" w:color="auto"/>
            </w:tcBorders>
            <w:shd w:val="clear" w:color="auto" w:fill="auto"/>
            <w:hideMark/>
          </w:tcPr>
          <w:p w14:paraId="62995CA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57577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37FAEF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67E7F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Open-Ended Questions: </w:t>
            </w:r>
          </w:p>
        </w:tc>
        <w:tc>
          <w:tcPr>
            <w:tcW w:w="6762" w:type="dxa"/>
            <w:tcBorders>
              <w:top w:val="nil"/>
              <w:left w:val="nil"/>
              <w:bottom w:val="single" w:sz="4" w:space="0" w:color="auto"/>
              <w:right w:val="single" w:sz="4" w:space="0" w:color="auto"/>
            </w:tcBorders>
            <w:shd w:val="clear" w:color="auto" w:fill="auto"/>
            <w:hideMark/>
          </w:tcPr>
          <w:p w14:paraId="113AA4F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opportunities for backers to share their thoughts and suggestions through open-ended questions, allowing for more detailed and nuanced feedback.</w:t>
            </w:r>
          </w:p>
        </w:tc>
        <w:tc>
          <w:tcPr>
            <w:tcW w:w="2566" w:type="dxa"/>
            <w:tcBorders>
              <w:top w:val="nil"/>
              <w:left w:val="nil"/>
              <w:bottom w:val="single" w:sz="4" w:space="0" w:color="auto"/>
              <w:right w:val="single" w:sz="4" w:space="0" w:color="auto"/>
            </w:tcBorders>
            <w:shd w:val="clear" w:color="auto" w:fill="auto"/>
            <w:hideMark/>
          </w:tcPr>
          <w:p w14:paraId="11D7F8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91D4E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2C2662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D52F9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Interactive Q&amp;A Sessions: </w:t>
            </w:r>
          </w:p>
        </w:tc>
        <w:tc>
          <w:tcPr>
            <w:tcW w:w="6762" w:type="dxa"/>
            <w:tcBorders>
              <w:top w:val="nil"/>
              <w:left w:val="nil"/>
              <w:bottom w:val="single" w:sz="4" w:space="0" w:color="auto"/>
              <w:right w:val="single" w:sz="4" w:space="0" w:color="auto"/>
            </w:tcBorders>
            <w:shd w:val="clear" w:color="auto" w:fill="auto"/>
            <w:hideMark/>
          </w:tcPr>
          <w:p w14:paraId="0B90B79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Host live Q&amp;A sessions or virtual town hall meetings where backers can ask questions, share feedback, and engage directly with project creators and team members.</w:t>
            </w:r>
          </w:p>
        </w:tc>
        <w:tc>
          <w:tcPr>
            <w:tcW w:w="2566" w:type="dxa"/>
            <w:tcBorders>
              <w:top w:val="nil"/>
              <w:left w:val="nil"/>
              <w:bottom w:val="single" w:sz="4" w:space="0" w:color="auto"/>
              <w:right w:val="single" w:sz="4" w:space="0" w:color="auto"/>
            </w:tcBorders>
            <w:shd w:val="clear" w:color="auto" w:fill="auto"/>
            <w:hideMark/>
          </w:tcPr>
          <w:p w14:paraId="49E0B5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E67157"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1A1B64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DA8E26"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Engagement Incentives:</w:t>
            </w:r>
          </w:p>
        </w:tc>
        <w:tc>
          <w:tcPr>
            <w:tcW w:w="6762" w:type="dxa"/>
            <w:tcBorders>
              <w:top w:val="nil"/>
              <w:left w:val="nil"/>
              <w:bottom w:val="single" w:sz="4" w:space="0" w:color="auto"/>
              <w:right w:val="single" w:sz="4" w:space="0" w:color="auto"/>
            </w:tcBorders>
            <w:shd w:val="clear" w:color="auto" w:fill="auto"/>
            <w:hideMark/>
          </w:tcPr>
          <w:p w14:paraId="728BFEC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FBAE4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DEDBF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696FD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87409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Reward Programs: </w:t>
            </w:r>
          </w:p>
        </w:tc>
        <w:tc>
          <w:tcPr>
            <w:tcW w:w="6762" w:type="dxa"/>
            <w:tcBorders>
              <w:top w:val="nil"/>
              <w:left w:val="nil"/>
              <w:bottom w:val="single" w:sz="4" w:space="0" w:color="auto"/>
              <w:right w:val="single" w:sz="4" w:space="0" w:color="auto"/>
            </w:tcBorders>
            <w:shd w:val="clear" w:color="auto" w:fill="auto"/>
            <w:hideMark/>
          </w:tcPr>
          <w:p w14:paraId="04C5795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Offer incentives or rewards for backers who provide valuable feedback or contribute constructive suggestions, such as exclusive access to project updates, digital downloads, or discounted merchandise.</w:t>
            </w:r>
          </w:p>
        </w:tc>
        <w:tc>
          <w:tcPr>
            <w:tcW w:w="2566" w:type="dxa"/>
            <w:tcBorders>
              <w:top w:val="nil"/>
              <w:left w:val="nil"/>
              <w:bottom w:val="single" w:sz="4" w:space="0" w:color="auto"/>
              <w:right w:val="single" w:sz="4" w:space="0" w:color="auto"/>
            </w:tcBorders>
            <w:shd w:val="clear" w:color="auto" w:fill="auto"/>
            <w:hideMark/>
          </w:tcPr>
          <w:p w14:paraId="26CD81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60672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4A9C04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41BE4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Recognition: </w:t>
            </w:r>
          </w:p>
        </w:tc>
        <w:tc>
          <w:tcPr>
            <w:tcW w:w="6762" w:type="dxa"/>
            <w:tcBorders>
              <w:top w:val="nil"/>
              <w:left w:val="nil"/>
              <w:bottom w:val="single" w:sz="4" w:space="0" w:color="auto"/>
              <w:right w:val="single" w:sz="4" w:space="0" w:color="auto"/>
            </w:tcBorders>
            <w:shd w:val="clear" w:color="auto" w:fill="auto"/>
            <w:hideMark/>
          </w:tcPr>
          <w:p w14:paraId="782C9D6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Acknowledge and publicly recognize backers who contribute meaningful feedback or ideas, whether through social media shout-outs, newsletter mentions, or special credits on the project website.</w:t>
            </w:r>
          </w:p>
        </w:tc>
        <w:tc>
          <w:tcPr>
            <w:tcW w:w="2566" w:type="dxa"/>
            <w:tcBorders>
              <w:top w:val="nil"/>
              <w:left w:val="nil"/>
              <w:bottom w:val="single" w:sz="4" w:space="0" w:color="auto"/>
              <w:right w:val="single" w:sz="4" w:space="0" w:color="auto"/>
            </w:tcBorders>
            <w:shd w:val="clear" w:color="auto" w:fill="auto"/>
            <w:hideMark/>
          </w:tcPr>
          <w:p w14:paraId="629E5CF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8679E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D617E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4018E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Collaboration Opportunities:</w:t>
            </w:r>
          </w:p>
        </w:tc>
        <w:tc>
          <w:tcPr>
            <w:tcW w:w="6762" w:type="dxa"/>
            <w:tcBorders>
              <w:top w:val="nil"/>
              <w:left w:val="nil"/>
              <w:bottom w:val="single" w:sz="4" w:space="0" w:color="auto"/>
              <w:right w:val="single" w:sz="4" w:space="0" w:color="auto"/>
            </w:tcBorders>
            <w:shd w:val="clear" w:color="auto" w:fill="auto"/>
            <w:hideMark/>
          </w:tcPr>
          <w:p w14:paraId="1608F6B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0ECBF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EB5D2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2FF84B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93F6C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Community Collaboration Platforms:</w:t>
            </w:r>
          </w:p>
        </w:tc>
        <w:tc>
          <w:tcPr>
            <w:tcW w:w="6762" w:type="dxa"/>
            <w:tcBorders>
              <w:top w:val="nil"/>
              <w:left w:val="nil"/>
              <w:bottom w:val="single" w:sz="4" w:space="0" w:color="auto"/>
              <w:right w:val="single" w:sz="4" w:space="0" w:color="auto"/>
            </w:tcBorders>
            <w:shd w:val="clear" w:color="auto" w:fill="auto"/>
            <w:hideMark/>
          </w:tcPr>
          <w:p w14:paraId="5A6E883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D6C2C4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45A16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561BE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DC789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Collaborative Forums: </w:t>
            </w:r>
          </w:p>
        </w:tc>
        <w:tc>
          <w:tcPr>
            <w:tcW w:w="6762" w:type="dxa"/>
            <w:tcBorders>
              <w:top w:val="nil"/>
              <w:left w:val="nil"/>
              <w:bottom w:val="single" w:sz="4" w:space="0" w:color="auto"/>
              <w:right w:val="single" w:sz="4" w:space="0" w:color="auto"/>
            </w:tcBorders>
            <w:shd w:val="clear" w:color="auto" w:fill="auto"/>
            <w:hideMark/>
          </w:tcPr>
          <w:p w14:paraId="420C1EC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Establish collaborative forums or online platforms where backers can share ideas, collaborate on project-related tasks, and contribute to ongoing discussions and initiatives.</w:t>
            </w:r>
          </w:p>
        </w:tc>
        <w:tc>
          <w:tcPr>
            <w:tcW w:w="2566" w:type="dxa"/>
            <w:tcBorders>
              <w:top w:val="nil"/>
              <w:left w:val="nil"/>
              <w:bottom w:val="single" w:sz="4" w:space="0" w:color="auto"/>
              <w:right w:val="single" w:sz="4" w:space="0" w:color="auto"/>
            </w:tcBorders>
            <w:shd w:val="clear" w:color="auto" w:fill="auto"/>
            <w:hideMark/>
          </w:tcPr>
          <w:p w14:paraId="6605F9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B499E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04E9E9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264E4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Project Workshops: </w:t>
            </w:r>
          </w:p>
        </w:tc>
        <w:tc>
          <w:tcPr>
            <w:tcW w:w="6762" w:type="dxa"/>
            <w:tcBorders>
              <w:top w:val="nil"/>
              <w:left w:val="nil"/>
              <w:bottom w:val="single" w:sz="4" w:space="0" w:color="auto"/>
              <w:right w:val="single" w:sz="4" w:space="0" w:color="auto"/>
            </w:tcBorders>
            <w:shd w:val="clear" w:color="auto" w:fill="auto"/>
            <w:hideMark/>
          </w:tcPr>
          <w:p w14:paraId="6F961B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Organize virtual or in-person workshops and brainstorming sessions where backers can actively participate in co-creating project features, designs, or strategies.</w:t>
            </w:r>
          </w:p>
        </w:tc>
        <w:tc>
          <w:tcPr>
            <w:tcW w:w="2566" w:type="dxa"/>
            <w:tcBorders>
              <w:top w:val="nil"/>
              <w:left w:val="nil"/>
              <w:bottom w:val="single" w:sz="4" w:space="0" w:color="auto"/>
              <w:right w:val="single" w:sz="4" w:space="0" w:color="auto"/>
            </w:tcBorders>
            <w:shd w:val="clear" w:color="auto" w:fill="auto"/>
            <w:hideMark/>
          </w:tcPr>
          <w:p w14:paraId="6C9824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27570F" w14:textId="77777777" w:rsidTr="0041317E">
        <w:trPr>
          <w:trHeight w:val="354"/>
        </w:trPr>
        <w:tc>
          <w:tcPr>
            <w:tcW w:w="1349" w:type="dxa"/>
            <w:tcBorders>
              <w:top w:val="nil"/>
              <w:left w:val="single" w:sz="4" w:space="0" w:color="auto"/>
              <w:bottom w:val="single" w:sz="4" w:space="0" w:color="auto"/>
              <w:right w:val="single" w:sz="4" w:space="0" w:color="auto"/>
            </w:tcBorders>
            <w:shd w:val="clear" w:color="auto" w:fill="auto"/>
            <w:hideMark/>
          </w:tcPr>
          <w:p w14:paraId="627FF75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241DEE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Co-Creation Initiatives:</w:t>
            </w:r>
          </w:p>
        </w:tc>
        <w:tc>
          <w:tcPr>
            <w:tcW w:w="6762" w:type="dxa"/>
            <w:tcBorders>
              <w:top w:val="nil"/>
              <w:left w:val="nil"/>
              <w:bottom w:val="single" w:sz="4" w:space="0" w:color="auto"/>
              <w:right w:val="single" w:sz="4" w:space="0" w:color="auto"/>
            </w:tcBorders>
            <w:shd w:val="clear" w:color="auto" w:fill="auto"/>
            <w:hideMark/>
          </w:tcPr>
          <w:p w14:paraId="141183F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F003C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AF8EA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B43B50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F850B4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Co-Design Projects: </w:t>
            </w:r>
          </w:p>
        </w:tc>
        <w:tc>
          <w:tcPr>
            <w:tcW w:w="6762" w:type="dxa"/>
            <w:tcBorders>
              <w:top w:val="nil"/>
              <w:left w:val="nil"/>
              <w:bottom w:val="single" w:sz="4" w:space="0" w:color="auto"/>
              <w:right w:val="single" w:sz="4" w:space="0" w:color="auto"/>
            </w:tcBorders>
            <w:shd w:val="clear" w:color="auto" w:fill="auto"/>
            <w:hideMark/>
          </w:tcPr>
          <w:p w14:paraId="2E0DDFE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Invite backers to participate in co-design projects where they can provide input and feedback on product features, prototypes, or user interfaces.</w:t>
            </w:r>
          </w:p>
        </w:tc>
        <w:tc>
          <w:tcPr>
            <w:tcW w:w="2566" w:type="dxa"/>
            <w:tcBorders>
              <w:top w:val="nil"/>
              <w:left w:val="nil"/>
              <w:bottom w:val="single" w:sz="4" w:space="0" w:color="auto"/>
              <w:right w:val="single" w:sz="4" w:space="0" w:color="auto"/>
            </w:tcBorders>
            <w:shd w:val="clear" w:color="auto" w:fill="auto"/>
            <w:hideMark/>
          </w:tcPr>
          <w:p w14:paraId="6552B3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94E99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A013C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79953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Beta Testing Programs: </w:t>
            </w:r>
          </w:p>
        </w:tc>
        <w:tc>
          <w:tcPr>
            <w:tcW w:w="6762" w:type="dxa"/>
            <w:tcBorders>
              <w:top w:val="nil"/>
              <w:left w:val="nil"/>
              <w:bottom w:val="single" w:sz="4" w:space="0" w:color="auto"/>
              <w:right w:val="single" w:sz="4" w:space="0" w:color="auto"/>
            </w:tcBorders>
            <w:shd w:val="clear" w:color="auto" w:fill="auto"/>
            <w:hideMark/>
          </w:tcPr>
          <w:p w14:paraId="5F5E661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Recruit backers to participate in beta testing programs, allowing them to provide real-world feedback on product performance, usability, and functionality before the official launch.</w:t>
            </w:r>
          </w:p>
        </w:tc>
        <w:tc>
          <w:tcPr>
            <w:tcW w:w="2566" w:type="dxa"/>
            <w:tcBorders>
              <w:top w:val="nil"/>
              <w:left w:val="nil"/>
              <w:bottom w:val="single" w:sz="4" w:space="0" w:color="auto"/>
              <w:right w:val="single" w:sz="4" w:space="0" w:color="auto"/>
            </w:tcBorders>
            <w:shd w:val="clear" w:color="auto" w:fill="auto"/>
            <w:hideMark/>
          </w:tcPr>
          <w:p w14:paraId="437ED3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90B28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2D20C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F25A34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Feedback Implementation:</w:t>
            </w:r>
          </w:p>
        </w:tc>
        <w:tc>
          <w:tcPr>
            <w:tcW w:w="6762" w:type="dxa"/>
            <w:tcBorders>
              <w:top w:val="nil"/>
              <w:left w:val="nil"/>
              <w:bottom w:val="single" w:sz="4" w:space="0" w:color="auto"/>
              <w:right w:val="single" w:sz="4" w:space="0" w:color="auto"/>
            </w:tcBorders>
            <w:shd w:val="clear" w:color="auto" w:fill="auto"/>
            <w:hideMark/>
          </w:tcPr>
          <w:p w14:paraId="21F65A2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2ED3ED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A30DD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41E62A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BC7211"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Transparent Communication:</w:t>
            </w:r>
          </w:p>
        </w:tc>
        <w:tc>
          <w:tcPr>
            <w:tcW w:w="6762" w:type="dxa"/>
            <w:tcBorders>
              <w:top w:val="nil"/>
              <w:left w:val="nil"/>
              <w:bottom w:val="single" w:sz="4" w:space="0" w:color="auto"/>
              <w:right w:val="single" w:sz="4" w:space="0" w:color="auto"/>
            </w:tcBorders>
            <w:shd w:val="clear" w:color="auto" w:fill="auto"/>
            <w:hideMark/>
          </w:tcPr>
          <w:p w14:paraId="6470F39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C3E5DD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A1D4A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D560F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A7FAA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Acknowledgment: </w:t>
            </w:r>
          </w:p>
        </w:tc>
        <w:tc>
          <w:tcPr>
            <w:tcW w:w="6762" w:type="dxa"/>
            <w:tcBorders>
              <w:top w:val="nil"/>
              <w:left w:val="nil"/>
              <w:bottom w:val="single" w:sz="4" w:space="0" w:color="auto"/>
              <w:right w:val="single" w:sz="4" w:space="0" w:color="auto"/>
            </w:tcBorders>
            <w:shd w:val="clear" w:color="auto" w:fill="auto"/>
            <w:hideMark/>
          </w:tcPr>
          <w:p w14:paraId="7C474C0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Respond promptly to all feedback submissions, acknowledging receipt and expressing appreciation for backers' contributions to the project.</w:t>
            </w:r>
          </w:p>
        </w:tc>
        <w:tc>
          <w:tcPr>
            <w:tcW w:w="2566" w:type="dxa"/>
            <w:tcBorders>
              <w:top w:val="nil"/>
              <w:left w:val="nil"/>
              <w:bottom w:val="single" w:sz="4" w:space="0" w:color="auto"/>
              <w:right w:val="single" w:sz="4" w:space="0" w:color="auto"/>
            </w:tcBorders>
            <w:shd w:val="clear" w:color="auto" w:fill="auto"/>
            <w:hideMark/>
          </w:tcPr>
          <w:p w14:paraId="563BA7D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3F0671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068727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FD4BD4"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Transparency: </w:t>
            </w:r>
          </w:p>
        </w:tc>
        <w:tc>
          <w:tcPr>
            <w:tcW w:w="6762" w:type="dxa"/>
            <w:tcBorders>
              <w:top w:val="nil"/>
              <w:left w:val="nil"/>
              <w:bottom w:val="single" w:sz="4" w:space="0" w:color="auto"/>
              <w:right w:val="single" w:sz="4" w:space="0" w:color="auto"/>
            </w:tcBorders>
            <w:shd w:val="clear" w:color="auto" w:fill="auto"/>
            <w:hideMark/>
          </w:tcPr>
          <w:p w14:paraId="0D52C7C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Communicate transparently with backers about how their feedback will be used to inform project decisions, improve product features, or enhance the overall supporter experience.</w:t>
            </w:r>
          </w:p>
        </w:tc>
        <w:tc>
          <w:tcPr>
            <w:tcW w:w="2566" w:type="dxa"/>
            <w:tcBorders>
              <w:top w:val="nil"/>
              <w:left w:val="nil"/>
              <w:bottom w:val="single" w:sz="4" w:space="0" w:color="auto"/>
              <w:right w:val="single" w:sz="4" w:space="0" w:color="auto"/>
            </w:tcBorders>
            <w:shd w:val="clear" w:color="auto" w:fill="auto"/>
            <w:hideMark/>
          </w:tcPr>
          <w:p w14:paraId="3BC5F26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A2B10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8AF3D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C65DA3"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Iterative Improvement:</w:t>
            </w:r>
          </w:p>
        </w:tc>
        <w:tc>
          <w:tcPr>
            <w:tcW w:w="6762" w:type="dxa"/>
            <w:tcBorders>
              <w:top w:val="nil"/>
              <w:left w:val="nil"/>
              <w:bottom w:val="single" w:sz="4" w:space="0" w:color="auto"/>
              <w:right w:val="single" w:sz="4" w:space="0" w:color="auto"/>
            </w:tcBorders>
            <w:shd w:val="clear" w:color="auto" w:fill="auto"/>
            <w:hideMark/>
          </w:tcPr>
          <w:p w14:paraId="0603135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F0A35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D6892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D6F44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AF105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Continuous Iteration: </w:t>
            </w:r>
          </w:p>
        </w:tc>
        <w:tc>
          <w:tcPr>
            <w:tcW w:w="6762" w:type="dxa"/>
            <w:tcBorders>
              <w:top w:val="nil"/>
              <w:left w:val="nil"/>
              <w:bottom w:val="single" w:sz="4" w:space="0" w:color="auto"/>
              <w:right w:val="single" w:sz="4" w:space="0" w:color="auto"/>
            </w:tcBorders>
            <w:shd w:val="clear" w:color="auto" w:fill="auto"/>
            <w:hideMark/>
          </w:tcPr>
          <w:p w14:paraId="171399D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Use feedback collected from backers to iteratively improve and refine project elements, such as product features, marketing strategies, or campaign messaging.</w:t>
            </w:r>
          </w:p>
        </w:tc>
        <w:tc>
          <w:tcPr>
            <w:tcW w:w="2566" w:type="dxa"/>
            <w:tcBorders>
              <w:top w:val="nil"/>
              <w:left w:val="nil"/>
              <w:bottom w:val="single" w:sz="4" w:space="0" w:color="auto"/>
              <w:right w:val="single" w:sz="4" w:space="0" w:color="auto"/>
            </w:tcBorders>
            <w:shd w:val="clear" w:color="auto" w:fill="auto"/>
            <w:hideMark/>
          </w:tcPr>
          <w:p w14:paraId="660200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753E4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2592C5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06A08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Loop: </w:t>
            </w:r>
          </w:p>
        </w:tc>
        <w:tc>
          <w:tcPr>
            <w:tcW w:w="6762" w:type="dxa"/>
            <w:tcBorders>
              <w:top w:val="nil"/>
              <w:left w:val="nil"/>
              <w:bottom w:val="single" w:sz="4" w:space="0" w:color="auto"/>
              <w:right w:val="single" w:sz="4" w:space="0" w:color="auto"/>
            </w:tcBorders>
            <w:shd w:val="clear" w:color="auto" w:fill="auto"/>
            <w:hideMark/>
          </w:tcPr>
          <w:p w14:paraId="034856B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Establish a continuous feedback loop where backers are kept informed about how their input has influenced project development and are invited to provide further feedback on subsequent iterations.</w:t>
            </w:r>
          </w:p>
        </w:tc>
        <w:tc>
          <w:tcPr>
            <w:tcW w:w="2566" w:type="dxa"/>
            <w:tcBorders>
              <w:top w:val="nil"/>
              <w:left w:val="nil"/>
              <w:bottom w:val="single" w:sz="4" w:space="0" w:color="auto"/>
              <w:right w:val="single" w:sz="4" w:space="0" w:color="auto"/>
            </w:tcBorders>
            <w:shd w:val="clear" w:color="auto" w:fill="auto"/>
            <w:hideMark/>
          </w:tcPr>
          <w:p w14:paraId="0933B3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79DF9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FE1D5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CBBC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34193298"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 "Prime Examples" strategy, the campaign can actively engage with potential backers, foster a sense of community and collaboration, and leverage valuable feedback to drive iterative improvement and innovation throughout the crowdfunding campaign.</w:t>
            </w:r>
          </w:p>
        </w:tc>
        <w:tc>
          <w:tcPr>
            <w:tcW w:w="2566" w:type="dxa"/>
            <w:tcBorders>
              <w:top w:val="nil"/>
              <w:left w:val="nil"/>
              <w:bottom w:val="single" w:sz="4" w:space="0" w:color="auto"/>
              <w:right w:val="single" w:sz="4" w:space="0" w:color="auto"/>
            </w:tcBorders>
            <w:shd w:val="clear" w:color="auto" w:fill="auto"/>
            <w:hideMark/>
          </w:tcPr>
          <w:p w14:paraId="45B6AF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B49405" w14:textId="77777777" w:rsidTr="0041317E">
        <w:trPr>
          <w:trHeight w:val="1728"/>
        </w:trPr>
        <w:tc>
          <w:tcPr>
            <w:tcW w:w="1349" w:type="dxa"/>
            <w:tcBorders>
              <w:top w:val="nil"/>
              <w:left w:val="single" w:sz="4" w:space="0" w:color="auto"/>
              <w:bottom w:val="single" w:sz="4" w:space="0" w:color="auto"/>
              <w:right w:val="single" w:sz="4" w:space="0" w:color="auto"/>
            </w:tcBorders>
            <w:shd w:val="clear" w:color="auto" w:fill="auto"/>
            <w:hideMark/>
          </w:tcPr>
          <w:p w14:paraId="3A8340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58F07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6. Feedback and Iteration:</w:t>
            </w:r>
          </w:p>
        </w:tc>
        <w:tc>
          <w:tcPr>
            <w:tcW w:w="6762" w:type="dxa"/>
            <w:tcBorders>
              <w:top w:val="nil"/>
              <w:left w:val="nil"/>
              <w:bottom w:val="single" w:sz="4" w:space="0" w:color="auto"/>
              <w:right w:val="single" w:sz="4" w:space="0" w:color="auto"/>
            </w:tcBorders>
            <w:shd w:val="clear" w:color="auto" w:fill="auto"/>
            <w:hideMark/>
          </w:tcPr>
          <w:p w14:paraId="670E5E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Monitor and analyze engagement metrics, feedback, and campaign performance data to evaluate the effectiveness of communication strategies and tactics.</w:t>
            </w:r>
          </w:p>
        </w:tc>
        <w:tc>
          <w:tcPr>
            <w:tcW w:w="2566" w:type="dxa"/>
            <w:tcBorders>
              <w:top w:val="nil"/>
              <w:left w:val="nil"/>
              <w:bottom w:val="single" w:sz="4" w:space="0" w:color="auto"/>
              <w:right w:val="single" w:sz="4" w:space="0" w:color="auto"/>
            </w:tcBorders>
            <w:shd w:val="clear" w:color="auto" w:fill="auto"/>
            <w:hideMark/>
          </w:tcPr>
          <w:p w14:paraId="2D4D0B3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What is our prime reach. In all honesty it's just numbers and so is bitboing so let keep up the real scientific value of the primebookone proof-of-find certificate</w:t>
            </w:r>
          </w:p>
        </w:tc>
      </w:tr>
      <w:tr w:rsidR="0041317E" w:rsidRPr="0041317E" w14:paraId="435E564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D9F8FD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5EB12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4BE2065"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Implementing the "Feedback and Iteration" strategy involves actively monitoring and analyzing engagement metrics, feedback, and campaign performance data to evaluate the effectiveness of communication strategies and tactics. Here's an in-depth look at how this can be executed:</w:t>
            </w:r>
          </w:p>
        </w:tc>
        <w:tc>
          <w:tcPr>
            <w:tcW w:w="2566" w:type="dxa"/>
            <w:tcBorders>
              <w:top w:val="nil"/>
              <w:left w:val="nil"/>
              <w:bottom w:val="single" w:sz="4" w:space="0" w:color="auto"/>
              <w:right w:val="single" w:sz="4" w:space="0" w:color="auto"/>
            </w:tcBorders>
            <w:shd w:val="clear" w:color="auto" w:fill="auto"/>
            <w:hideMark/>
          </w:tcPr>
          <w:p w14:paraId="7CEDA19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A28AC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520FC5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7E97C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Monitoring and Analysis Process:</w:t>
            </w:r>
          </w:p>
        </w:tc>
        <w:tc>
          <w:tcPr>
            <w:tcW w:w="6762" w:type="dxa"/>
            <w:tcBorders>
              <w:top w:val="nil"/>
              <w:left w:val="nil"/>
              <w:bottom w:val="single" w:sz="4" w:space="0" w:color="auto"/>
              <w:right w:val="single" w:sz="4" w:space="0" w:color="auto"/>
            </w:tcBorders>
            <w:shd w:val="clear" w:color="auto" w:fill="auto"/>
            <w:hideMark/>
          </w:tcPr>
          <w:p w14:paraId="6C91DA9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27C24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10A76C"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9B271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AB808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Engagement Metrics:</w:t>
            </w:r>
          </w:p>
        </w:tc>
        <w:tc>
          <w:tcPr>
            <w:tcW w:w="6762" w:type="dxa"/>
            <w:tcBorders>
              <w:top w:val="nil"/>
              <w:left w:val="nil"/>
              <w:bottom w:val="single" w:sz="4" w:space="0" w:color="auto"/>
              <w:right w:val="single" w:sz="4" w:space="0" w:color="auto"/>
            </w:tcBorders>
            <w:shd w:val="clear" w:color="auto" w:fill="auto"/>
            <w:hideMark/>
          </w:tcPr>
          <w:p w14:paraId="476E2D5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8CDE68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2549E4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FF3BBC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78214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Social Media Engagement: </w:t>
            </w:r>
          </w:p>
        </w:tc>
        <w:tc>
          <w:tcPr>
            <w:tcW w:w="6762" w:type="dxa"/>
            <w:tcBorders>
              <w:top w:val="nil"/>
              <w:left w:val="nil"/>
              <w:bottom w:val="single" w:sz="4" w:space="0" w:color="auto"/>
              <w:right w:val="single" w:sz="4" w:space="0" w:color="auto"/>
            </w:tcBorders>
            <w:shd w:val="clear" w:color="auto" w:fill="auto"/>
            <w:hideMark/>
          </w:tcPr>
          <w:p w14:paraId="6FA0918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Track metrics such as likes, shares, comments, and followers on social media platforms to gauge audience engagement and interaction with campaign content.</w:t>
            </w:r>
          </w:p>
        </w:tc>
        <w:tc>
          <w:tcPr>
            <w:tcW w:w="2566" w:type="dxa"/>
            <w:tcBorders>
              <w:top w:val="nil"/>
              <w:left w:val="nil"/>
              <w:bottom w:val="single" w:sz="4" w:space="0" w:color="auto"/>
              <w:right w:val="single" w:sz="4" w:space="0" w:color="auto"/>
            </w:tcBorders>
            <w:shd w:val="clear" w:color="auto" w:fill="auto"/>
            <w:hideMark/>
          </w:tcPr>
          <w:p w14:paraId="7DFBDC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92C911"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34969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70A7C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Email Engagement: </w:t>
            </w:r>
          </w:p>
        </w:tc>
        <w:tc>
          <w:tcPr>
            <w:tcW w:w="6762" w:type="dxa"/>
            <w:tcBorders>
              <w:top w:val="nil"/>
              <w:left w:val="nil"/>
              <w:bottom w:val="single" w:sz="4" w:space="0" w:color="auto"/>
              <w:right w:val="single" w:sz="4" w:space="0" w:color="auto"/>
            </w:tcBorders>
            <w:shd w:val="clear" w:color="auto" w:fill="auto"/>
            <w:hideMark/>
          </w:tcPr>
          <w:p w14:paraId="66E11D2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email open rates, click-through rates, and unsubscribe rates to assess the effectiveness of email newsletters and communication efforts.</w:t>
            </w:r>
          </w:p>
        </w:tc>
        <w:tc>
          <w:tcPr>
            <w:tcW w:w="2566" w:type="dxa"/>
            <w:tcBorders>
              <w:top w:val="nil"/>
              <w:left w:val="nil"/>
              <w:bottom w:val="single" w:sz="4" w:space="0" w:color="auto"/>
              <w:right w:val="single" w:sz="4" w:space="0" w:color="auto"/>
            </w:tcBorders>
            <w:shd w:val="clear" w:color="auto" w:fill="auto"/>
            <w:hideMark/>
          </w:tcPr>
          <w:p w14:paraId="6527A9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FFBED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3386C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9C480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Website Traffic: </w:t>
            </w:r>
          </w:p>
        </w:tc>
        <w:tc>
          <w:tcPr>
            <w:tcW w:w="6762" w:type="dxa"/>
            <w:tcBorders>
              <w:top w:val="nil"/>
              <w:left w:val="nil"/>
              <w:bottom w:val="single" w:sz="4" w:space="0" w:color="auto"/>
              <w:right w:val="single" w:sz="4" w:space="0" w:color="auto"/>
            </w:tcBorders>
            <w:shd w:val="clear" w:color="auto" w:fill="auto"/>
            <w:hideMark/>
          </w:tcPr>
          <w:p w14:paraId="1485254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Analyze website traffic data, including page views, session duration, and bounce rates, to understand user behavior and engagement levels.</w:t>
            </w:r>
          </w:p>
        </w:tc>
        <w:tc>
          <w:tcPr>
            <w:tcW w:w="2566" w:type="dxa"/>
            <w:tcBorders>
              <w:top w:val="nil"/>
              <w:left w:val="nil"/>
              <w:bottom w:val="single" w:sz="4" w:space="0" w:color="auto"/>
              <w:right w:val="single" w:sz="4" w:space="0" w:color="auto"/>
            </w:tcBorders>
            <w:shd w:val="clear" w:color="auto" w:fill="auto"/>
            <w:hideMark/>
          </w:tcPr>
          <w:p w14:paraId="52F375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1DBD3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E4A26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A8BE1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Press Coverage: </w:t>
            </w:r>
          </w:p>
        </w:tc>
        <w:tc>
          <w:tcPr>
            <w:tcW w:w="6762" w:type="dxa"/>
            <w:tcBorders>
              <w:top w:val="nil"/>
              <w:left w:val="nil"/>
              <w:bottom w:val="single" w:sz="4" w:space="0" w:color="auto"/>
              <w:right w:val="single" w:sz="4" w:space="0" w:color="auto"/>
            </w:tcBorders>
            <w:shd w:val="clear" w:color="auto" w:fill="auto"/>
            <w:hideMark/>
          </w:tcPr>
          <w:p w14:paraId="1D91FF8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Keep track of media mentions, press releases, and news articles to measure the reach and impact of press and media outreach efforts.</w:t>
            </w:r>
          </w:p>
        </w:tc>
        <w:tc>
          <w:tcPr>
            <w:tcW w:w="2566" w:type="dxa"/>
            <w:tcBorders>
              <w:top w:val="nil"/>
              <w:left w:val="nil"/>
              <w:bottom w:val="single" w:sz="4" w:space="0" w:color="auto"/>
              <w:right w:val="single" w:sz="4" w:space="0" w:color="auto"/>
            </w:tcBorders>
            <w:shd w:val="clear" w:color="auto" w:fill="auto"/>
            <w:hideMark/>
          </w:tcPr>
          <w:p w14:paraId="0503CE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270CD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5F18B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846C1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Feedback Analysis:</w:t>
            </w:r>
          </w:p>
        </w:tc>
        <w:tc>
          <w:tcPr>
            <w:tcW w:w="6762" w:type="dxa"/>
            <w:tcBorders>
              <w:top w:val="nil"/>
              <w:left w:val="nil"/>
              <w:bottom w:val="single" w:sz="4" w:space="0" w:color="auto"/>
              <w:right w:val="single" w:sz="4" w:space="0" w:color="auto"/>
            </w:tcBorders>
            <w:shd w:val="clear" w:color="auto" w:fill="auto"/>
            <w:hideMark/>
          </w:tcPr>
          <w:p w14:paraId="293327C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A893E4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2F9097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B24BF9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D7E1B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Survey Responses: </w:t>
            </w:r>
          </w:p>
        </w:tc>
        <w:tc>
          <w:tcPr>
            <w:tcW w:w="6762" w:type="dxa"/>
            <w:tcBorders>
              <w:top w:val="nil"/>
              <w:left w:val="nil"/>
              <w:bottom w:val="single" w:sz="4" w:space="0" w:color="auto"/>
              <w:right w:val="single" w:sz="4" w:space="0" w:color="auto"/>
            </w:tcBorders>
            <w:shd w:val="clear" w:color="auto" w:fill="auto"/>
            <w:hideMark/>
          </w:tcPr>
          <w:p w14:paraId="23FA46A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Analyze responses from surveys and questionnaires to identify common themes, trends, and areas for improvement based on backers' feedback and suggestions.</w:t>
            </w:r>
          </w:p>
        </w:tc>
        <w:tc>
          <w:tcPr>
            <w:tcW w:w="2566" w:type="dxa"/>
            <w:tcBorders>
              <w:top w:val="nil"/>
              <w:left w:val="nil"/>
              <w:bottom w:val="single" w:sz="4" w:space="0" w:color="auto"/>
              <w:right w:val="single" w:sz="4" w:space="0" w:color="auto"/>
            </w:tcBorders>
            <w:shd w:val="clear" w:color="auto" w:fill="auto"/>
            <w:hideMark/>
          </w:tcPr>
          <w:p w14:paraId="5375382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73A4E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6EBE78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31DF7B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Open-Ended Feedback: </w:t>
            </w:r>
          </w:p>
        </w:tc>
        <w:tc>
          <w:tcPr>
            <w:tcW w:w="6762" w:type="dxa"/>
            <w:tcBorders>
              <w:top w:val="nil"/>
              <w:left w:val="nil"/>
              <w:bottom w:val="single" w:sz="4" w:space="0" w:color="auto"/>
              <w:right w:val="single" w:sz="4" w:space="0" w:color="auto"/>
            </w:tcBorders>
            <w:shd w:val="clear" w:color="auto" w:fill="auto"/>
            <w:hideMark/>
          </w:tcPr>
          <w:p w14:paraId="7FB500D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Review qualitative feedback collected from backers through open-ended questions to gain insights into their perceptions, preferences, and concerns regarding the campaign.</w:t>
            </w:r>
          </w:p>
        </w:tc>
        <w:tc>
          <w:tcPr>
            <w:tcW w:w="2566" w:type="dxa"/>
            <w:tcBorders>
              <w:top w:val="nil"/>
              <w:left w:val="nil"/>
              <w:bottom w:val="single" w:sz="4" w:space="0" w:color="auto"/>
              <w:right w:val="single" w:sz="4" w:space="0" w:color="auto"/>
            </w:tcBorders>
            <w:shd w:val="clear" w:color="auto" w:fill="auto"/>
            <w:hideMark/>
          </w:tcPr>
          <w:p w14:paraId="5DEF393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D3899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88A70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1D546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Discussions: </w:t>
            </w:r>
          </w:p>
        </w:tc>
        <w:tc>
          <w:tcPr>
            <w:tcW w:w="6762" w:type="dxa"/>
            <w:tcBorders>
              <w:top w:val="nil"/>
              <w:left w:val="nil"/>
              <w:bottom w:val="single" w:sz="4" w:space="0" w:color="auto"/>
              <w:right w:val="single" w:sz="4" w:space="0" w:color="auto"/>
            </w:tcBorders>
            <w:shd w:val="clear" w:color="auto" w:fill="auto"/>
            <w:hideMark/>
          </w:tcPr>
          <w:p w14:paraId="0A3CD47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discussions and interactions on forums, social media groups, and community platforms to understand backers' sentiments, questions, and engagement levels.</w:t>
            </w:r>
          </w:p>
        </w:tc>
        <w:tc>
          <w:tcPr>
            <w:tcW w:w="2566" w:type="dxa"/>
            <w:tcBorders>
              <w:top w:val="nil"/>
              <w:left w:val="nil"/>
              <w:bottom w:val="single" w:sz="4" w:space="0" w:color="auto"/>
              <w:right w:val="single" w:sz="4" w:space="0" w:color="auto"/>
            </w:tcBorders>
            <w:shd w:val="clear" w:color="auto" w:fill="auto"/>
            <w:hideMark/>
          </w:tcPr>
          <w:p w14:paraId="5AB0485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24E388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952663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27DED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Campaign Performance Data:</w:t>
            </w:r>
          </w:p>
        </w:tc>
        <w:tc>
          <w:tcPr>
            <w:tcW w:w="6762" w:type="dxa"/>
            <w:tcBorders>
              <w:top w:val="nil"/>
              <w:left w:val="nil"/>
              <w:bottom w:val="single" w:sz="4" w:space="0" w:color="auto"/>
              <w:right w:val="single" w:sz="4" w:space="0" w:color="auto"/>
            </w:tcBorders>
            <w:shd w:val="clear" w:color="auto" w:fill="auto"/>
            <w:hideMark/>
          </w:tcPr>
          <w:p w14:paraId="099D957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D7A925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72EDA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DDC64B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B11BFF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Funding Progress: </w:t>
            </w:r>
          </w:p>
        </w:tc>
        <w:tc>
          <w:tcPr>
            <w:tcW w:w="6762" w:type="dxa"/>
            <w:tcBorders>
              <w:top w:val="nil"/>
              <w:left w:val="nil"/>
              <w:bottom w:val="single" w:sz="4" w:space="0" w:color="auto"/>
              <w:right w:val="single" w:sz="4" w:space="0" w:color="auto"/>
            </w:tcBorders>
            <w:shd w:val="clear" w:color="auto" w:fill="auto"/>
            <w:hideMark/>
          </w:tcPr>
          <w:p w14:paraId="32FE32C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Track funding progress over time, including total funds raised, average pledge amounts, and backer demographics, to assess campaign performance and trajectory.</w:t>
            </w:r>
          </w:p>
        </w:tc>
        <w:tc>
          <w:tcPr>
            <w:tcW w:w="2566" w:type="dxa"/>
            <w:tcBorders>
              <w:top w:val="nil"/>
              <w:left w:val="nil"/>
              <w:bottom w:val="single" w:sz="4" w:space="0" w:color="auto"/>
              <w:right w:val="single" w:sz="4" w:space="0" w:color="auto"/>
            </w:tcBorders>
            <w:shd w:val="clear" w:color="auto" w:fill="auto"/>
            <w:hideMark/>
          </w:tcPr>
          <w:p w14:paraId="5CEF0A8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743D8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912E9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86F7F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Conversion Rates: </w:t>
            </w:r>
          </w:p>
        </w:tc>
        <w:tc>
          <w:tcPr>
            <w:tcW w:w="6762" w:type="dxa"/>
            <w:tcBorders>
              <w:top w:val="nil"/>
              <w:left w:val="nil"/>
              <w:bottom w:val="single" w:sz="4" w:space="0" w:color="auto"/>
              <w:right w:val="single" w:sz="4" w:space="0" w:color="auto"/>
            </w:tcBorders>
            <w:shd w:val="clear" w:color="auto" w:fill="auto"/>
            <w:hideMark/>
          </w:tcPr>
          <w:p w14:paraId="35E4DD6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Measure conversion rates for different campaign elements, such as landing pages, email sign-ups, and pledge conversions, to identify areas of strength and areas for optimization.</w:t>
            </w:r>
          </w:p>
        </w:tc>
        <w:tc>
          <w:tcPr>
            <w:tcW w:w="2566" w:type="dxa"/>
            <w:tcBorders>
              <w:top w:val="nil"/>
              <w:left w:val="nil"/>
              <w:bottom w:val="single" w:sz="4" w:space="0" w:color="auto"/>
              <w:right w:val="single" w:sz="4" w:space="0" w:color="auto"/>
            </w:tcBorders>
            <w:shd w:val="clear" w:color="auto" w:fill="auto"/>
            <w:hideMark/>
          </w:tcPr>
          <w:p w14:paraId="280DDA1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24D4E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46965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65947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Backer Retention: </w:t>
            </w:r>
          </w:p>
        </w:tc>
        <w:tc>
          <w:tcPr>
            <w:tcW w:w="6762" w:type="dxa"/>
            <w:tcBorders>
              <w:top w:val="nil"/>
              <w:left w:val="nil"/>
              <w:bottom w:val="single" w:sz="4" w:space="0" w:color="auto"/>
              <w:right w:val="single" w:sz="4" w:space="0" w:color="auto"/>
            </w:tcBorders>
            <w:shd w:val="clear" w:color="auto" w:fill="auto"/>
            <w:hideMark/>
          </w:tcPr>
          <w:p w14:paraId="25FE639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backer retention rates and churn rates to evaluate the effectiveness of engagement strategies in retaining supporters and fostering long-term commitment.</w:t>
            </w:r>
          </w:p>
        </w:tc>
        <w:tc>
          <w:tcPr>
            <w:tcW w:w="2566" w:type="dxa"/>
            <w:tcBorders>
              <w:top w:val="nil"/>
              <w:left w:val="nil"/>
              <w:bottom w:val="single" w:sz="4" w:space="0" w:color="auto"/>
              <w:right w:val="single" w:sz="4" w:space="0" w:color="auto"/>
            </w:tcBorders>
            <w:shd w:val="clear" w:color="auto" w:fill="auto"/>
            <w:hideMark/>
          </w:tcPr>
          <w:p w14:paraId="2B3F6C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E0373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F089F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E45512"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Evaluation and Optimization:</w:t>
            </w:r>
          </w:p>
        </w:tc>
        <w:tc>
          <w:tcPr>
            <w:tcW w:w="6762" w:type="dxa"/>
            <w:tcBorders>
              <w:top w:val="nil"/>
              <w:left w:val="nil"/>
              <w:bottom w:val="single" w:sz="4" w:space="0" w:color="auto"/>
              <w:right w:val="single" w:sz="4" w:space="0" w:color="auto"/>
            </w:tcBorders>
            <w:shd w:val="clear" w:color="auto" w:fill="auto"/>
            <w:hideMark/>
          </w:tcPr>
          <w:p w14:paraId="4AA07DB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A0397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B3569A"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2B272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2E70855"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Performance Assessment:</w:t>
            </w:r>
          </w:p>
        </w:tc>
        <w:tc>
          <w:tcPr>
            <w:tcW w:w="6762" w:type="dxa"/>
            <w:tcBorders>
              <w:top w:val="nil"/>
              <w:left w:val="nil"/>
              <w:bottom w:val="single" w:sz="4" w:space="0" w:color="auto"/>
              <w:right w:val="single" w:sz="4" w:space="0" w:color="auto"/>
            </w:tcBorders>
            <w:shd w:val="clear" w:color="auto" w:fill="auto"/>
            <w:hideMark/>
          </w:tcPr>
          <w:p w14:paraId="64376D6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D6D286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73514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E0E165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D7C74A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Comparative Analysis: </w:t>
            </w:r>
          </w:p>
        </w:tc>
        <w:tc>
          <w:tcPr>
            <w:tcW w:w="6762" w:type="dxa"/>
            <w:tcBorders>
              <w:top w:val="nil"/>
              <w:left w:val="nil"/>
              <w:bottom w:val="single" w:sz="4" w:space="0" w:color="auto"/>
              <w:right w:val="single" w:sz="4" w:space="0" w:color="auto"/>
            </w:tcBorders>
            <w:shd w:val="clear" w:color="auto" w:fill="auto"/>
            <w:hideMark/>
          </w:tcPr>
          <w:p w14:paraId="6A9505F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Compare engagement metrics and feedback data across different communication channels, content formats, and campaign phases to identify what strategies are resonating most with backers.</w:t>
            </w:r>
          </w:p>
        </w:tc>
        <w:tc>
          <w:tcPr>
            <w:tcW w:w="2566" w:type="dxa"/>
            <w:tcBorders>
              <w:top w:val="nil"/>
              <w:left w:val="nil"/>
              <w:bottom w:val="single" w:sz="4" w:space="0" w:color="auto"/>
              <w:right w:val="single" w:sz="4" w:space="0" w:color="auto"/>
            </w:tcBorders>
            <w:shd w:val="clear" w:color="auto" w:fill="auto"/>
            <w:hideMark/>
          </w:tcPr>
          <w:p w14:paraId="721284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7E755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2015AE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909D29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Benchmarking: </w:t>
            </w:r>
          </w:p>
        </w:tc>
        <w:tc>
          <w:tcPr>
            <w:tcW w:w="6762" w:type="dxa"/>
            <w:tcBorders>
              <w:top w:val="nil"/>
              <w:left w:val="nil"/>
              <w:bottom w:val="single" w:sz="4" w:space="0" w:color="auto"/>
              <w:right w:val="single" w:sz="4" w:space="0" w:color="auto"/>
            </w:tcBorders>
            <w:shd w:val="clear" w:color="auto" w:fill="auto"/>
            <w:hideMark/>
          </w:tcPr>
          <w:p w14:paraId="78E005C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Benchmark campaign performance metrics against industry standards and best practices to assess whether the campaign is meeting or exceeding expectations.</w:t>
            </w:r>
          </w:p>
        </w:tc>
        <w:tc>
          <w:tcPr>
            <w:tcW w:w="2566" w:type="dxa"/>
            <w:tcBorders>
              <w:top w:val="nil"/>
              <w:left w:val="nil"/>
              <w:bottom w:val="single" w:sz="4" w:space="0" w:color="auto"/>
              <w:right w:val="single" w:sz="4" w:space="0" w:color="auto"/>
            </w:tcBorders>
            <w:shd w:val="clear" w:color="auto" w:fill="auto"/>
            <w:hideMark/>
          </w:tcPr>
          <w:p w14:paraId="454A7B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210DA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F699E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E5BD9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Iterative Improvement:</w:t>
            </w:r>
          </w:p>
        </w:tc>
        <w:tc>
          <w:tcPr>
            <w:tcW w:w="6762" w:type="dxa"/>
            <w:tcBorders>
              <w:top w:val="nil"/>
              <w:left w:val="nil"/>
              <w:bottom w:val="single" w:sz="4" w:space="0" w:color="auto"/>
              <w:right w:val="single" w:sz="4" w:space="0" w:color="auto"/>
            </w:tcBorders>
            <w:shd w:val="clear" w:color="auto" w:fill="auto"/>
            <w:hideMark/>
          </w:tcPr>
          <w:p w14:paraId="25A778A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4CCE2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1A07C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61544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DF157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Iterative Testing: </w:t>
            </w:r>
          </w:p>
        </w:tc>
        <w:tc>
          <w:tcPr>
            <w:tcW w:w="6762" w:type="dxa"/>
            <w:tcBorders>
              <w:top w:val="nil"/>
              <w:left w:val="nil"/>
              <w:bottom w:val="single" w:sz="4" w:space="0" w:color="auto"/>
              <w:right w:val="single" w:sz="4" w:space="0" w:color="auto"/>
            </w:tcBorders>
            <w:shd w:val="clear" w:color="auto" w:fill="auto"/>
            <w:hideMark/>
          </w:tcPr>
          <w:p w14:paraId="214718B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Implement A/B testing or multivariate testing to experiment with different communication strategies, messaging variations, and content formats to optimize engagement and conversion rates.</w:t>
            </w:r>
          </w:p>
        </w:tc>
        <w:tc>
          <w:tcPr>
            <w:tcW w:w="2566" w:type="dxa"/>
            <w:tcBorders>
              <w:top w:val="nil"/>
              <w:left w:val="nil"/>
              <w:bottom w:val="single" w:sz="4" w:space="0" w:color="auto"/>
              <w:right w:val="single" w:sz="4" w:space="0" w:color="auto"/>
            </w:tcBorders>
            <w:shd w:val="clear" w:color="auto" w:fill="auto"/>
            <w:hideMark/>
          </w:tcPr>
          <w:p w14:paraId="3F8B53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33F1EB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AA561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B635B5"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Continuous Optimization: </w:t>
            </w:r>
          </w:p>
        </w:tc>
        <w:tc>
          <w:tcPr>
            <w:tcW w:w="6762" w:type="dxa"/>
            <w:tcBorders>
              <w:top w:val="nil"/>
              <w:left w:val="nil"/>
              <w:bottom w:val="single" w:sz="4" w:space="0" w:color="auto"/>
              <w:right w:val="single" w:sz="4" w:space="0" w:color="auto"/>
            </w:tcBorders>
            <w:shd w:val="clear" w:color="auto" w:fill="auto"/>
            <w:hideMark/>
          </w:tcPr>
          <w:p w14:paraId="0A3729D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Continuously iterate and refine communication strategies based on insights gathered from monitoring and analysis efforts, incorporating feedback and addressing areas of improvement identified during the campaign.</w:t>
            </w:r>
          </w:p>
        </w:tc>
        <w:tc>
          <w:tcPr>
            <w:tcW w:w="2566" w:type="dxa"/>
            <w:tcBorders>
              <w:top w:val="nil"/>
              <w:left w:val="nil"/>
              <w:bottom w:val="single" w:sz="4" w:space="0" w:color="auto"/>
              <w:right w:val="single" w:sz="4" w:space="0" w:color="auto"/>
            </w:tcBorders>
            <w:shd w:val="clear" w:color="auto" w:fill="auto"/>
            <w:hideMark/>
          </w:tcPr>
          <w:p w14:paraId="014BC7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71844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789F3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41E59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Real-Time Adjustments:</w:t>
            </w:r>
          </w:p>
        </w:tc>
        <w:tc>
          <w:tcPr>
            <w:tcW w:w="6762" w:type="dxa"/>
            <w:tcBorders>
              <w:top w:val="nil"/>
              <w:left w:val="nil"/>
              <w:bottom w:val="single" w:sz="4" w:space="0" w:color="auto"/>
              <w:right w:val="single" w:sz="4" w:space="0" w:color="auto"/>
            </w:tcBorders>
            <w:shd w:val="clear" w:color="auto" w:fill="auto"/>
            <w:hideMark/>
          </w:tcPr>
          <w:p w14:paraId="751214E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1B867C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2416D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FEC428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C016E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Agile Response: </w:t>
            </w:r>
          </w:p>
        </w:tc>
        <w:tc>
          <w:tcPr>
            <w:tcW w:w="6762" w:type="dxa"/>
            <w:tcBorders>
              <w:top w:val="nil"/>
              <w:left w:val="nil"/>
              <w:bottom w:val="single" w:sz="4" w:space="0" w:color="auto"/>
              <w:right w:val="single" w:sz="4" w:space="0" w:color="auto"/>
            </w:tcBorders>
            <w:shd w:val="clear" w:color="auto" w:fill="auto"/>
            <w:hideMark/>
          </w:tcPr>
          <w:p w14:paraId="353A31D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Respond promptly to emerging trends, audience feedback, and campaign performance fluctuations by making real-time adjustments to communication tactics, content distribution strategies, and engagement initiatives.</w:t>
            </w:r>
          </w:p>
        </w:tc>
        <w:tc>
          <w:tcPr>
            <w:tcW w:w="2566" w:type="dxa"/>
            <w:tcBorders>
              <w:top w:val="nil"/>
              <w:left w:val="nil"/>
              <w:bottom w:val="single" w:sz="4" w:space="0" w:color="auto"/>
              <w:right w:val="single" w:sz="4" w:space="0" w:color="auto"/>
            </w:tcBorders>
            <w:shd w:val="clear" w:color="auto" w:fill="auto"/>
            <w:hideMark/>
          </w:tcPr>
          <w:p w14:paraId="1496F4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DBEE9F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98DBBD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6B9FF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Adaptive Strategy: </w:t>
            </w:r>
          </w:p>
        </w:tc>
        <w:tc>
          <w:tcPr>
            <w:tcW w:w="6762" w:type="dxa"/>
            <w:tcBorders>
              <w:top w:val="nil"/>
              <w:left w:val="nil"/>
              <w:bottom w:val="single" w:sz="4" w:space="0" w:color="auto"/>
              <w:right w:val="single" w:sz="4" w:space="0" w:color="auto"/>
            </w:tcBorders>
            <w:shd w:val="clear" w:color="auto" w:fill="auto"/>
            <w:hideMark/>
          </w:tcPr>
          <w:p w14:paraId="04E57C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Maintain flexibility in the communication strategy to adapt to changing circumstances, audience preferences, and market dynamics throughout the campaign lifecycle.</w:t>
            </w:r>
          </w:p>
        </w:tc>
        <w:tc>
          <w:tcPr>
            <w:tcW w:w="2566" w:type="dxa"/>
            <w:tcBorders>
              <w:top w:val="nil"/>
              <w:left w:val="nil"/>
              <w:bottom w:val="single" w:sz="4" w:space="0" w:color="auto"/>
              <w:right w:val="single" w:sz="4" w:space="0" w:color="auto"/>
            </w:tcBorders>
            <w:shd w:val="clear" w:color="auto" w:fill="auto"/>
            <w:hideMark/>
          </w:tcPr>
          <w:p w14:paraId="72F6B6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E1FD2B"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2021D2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A61BE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Implementation:</w:t>
            </w:r>
          </w:p>
        </w:tc>
        <w:tc>
          <w:tcPr>
            <w:tcW w:w="6762" w:type="dxa"/>
            <w:tcBorders>
              <w:top w:val="nil"/>
              <w:left w:val="nil"/>
              <w:bottom w:val="single" w:sz="4" w:space="0" w:color="auto"/>
              <w:right w:val="single" w:sz="4" w:space="0" w:color="auto"/>
            </w:tcBorders>
            <w:shd w:val="clear" w:color="auto" w:fill="auto"/>
            <w:hideMark/>
          </w:tcPr>
          <w:p w14:paraId="1B8A2BAA"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implementing the "Feedback and Iteration" strategy, the campaign can leverage data-driven insights to refine communication efforts, optimize engagement strategies, and enhance the overall effectiveness of the crowdfunding campaign. This iterative approach ensures that communication tactics are continuously refined and optimized to maximize reach, engagement, and support from potential backers.</w:t>
            </w:r>
          </w:p>
        </w:tc>
        <w:tc>
          <w:tcPr>
            <w:tcW w:w="2566" w:type="dxa"/>
            <w:tcBorders>
              <w:top w:val="nil"/>
              <w:left w:val="nil"/>
              <w:bottom w:val="single" w:sz="4" w:space="0" w:color="auto"/>
              <w:right w:val="single" w:sz="4" w:space="0" w:color="auto"/>
            </w:tcBorders>
            <w:shd w:val="clear" w:color="auto" w:fill="auto"/>
            <w:hideMark/>
          </w:tcPr>
          <w:p w14:paraId="1EB9E70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C197167" w14:textId="77777777" w:rsidTr="0041317E">
        <w:trPr>
          <w:trHeight w:val="2592"/>
        </w:trPr>
        <w:tc>
          <w:tcPr>
            <w:tcW w:w="1349" w:type="dxa"/>
            <w:tcBorders>
              <w:top w:val="nil"/>
              <w:left w:val="single" w:sz="4" w:space="0" w:color="auto"/>
              <w:bottom w:val="single" w:sz="4" w:space="0" w:color="auto"/>
              <w:right w:val="single" w:sz="4" w:space="0" w:color="auto"/>
            </w:tcBorders>
            <w:shd w:val="clear" w:color="auto" w:fill="auto"/>
            <w:hideMark/>
          </w:tcPr>
          <w:p w14:paraId="64BA48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89415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6. Feedback and Iteration:</w:t>
            </w:r>
          </w:p>
        </w:tc>
        <w:tc>
          <w:tcPr>
            <w:tcW w:w="6762" w:type="dxa"/>
            <w:tcBorders>
              <w:top w:val="nil"/>
              <w:left w:val="nil"/>
              <w:bottom w:val="single" w:sz="4" w:space="0" w:color="auto"/>
              <w:right w:val="single" w:sz="4" w:space="0" w:color="auto"/>
            </w:tcBorders>
            <w:shd w:val="clear" w:color="auto" w:fill="auto"/>
            <w:hideMark/>
          </w:tcPr>
          <w:p w14:paraId="019D5DC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Iterate and refine communication efforts based on insights gained from analytics, A/B testing, and feedback from backers and stakeholders.</w:t>
            </w:r>
          </w:p>
        </w:tc>
        <w:tc>
          <w:tcPr>
            <w:tcW w:w="2566" w:type="dxa"/>
            <w:tcBorders>
              <w:top w:val="nil"/>
              <w:left w:val="nil"/>
              <w:bottom w:val="single" w:sz="4" w:space="0" w:color="auto"/>
              <w:right w:val="single" w:sz="4" w:space="0" w:color="auto"/>
            </w:tcBorders>
            <w:shd w:val="clear" w:color="auto" w:fill="auto"/>
            <w:hideMark/>
          </w:tcPr>
          <w:p w14:paraId="0D23A91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What slogans work or don’t, does "Punch of Prime" ellicite violence?  People's taste be it scientific mathematical or humorous content is not seldom culturally equal.  Who really values this venture and the people involved.</w:t>
            </w:r>
          </w:p>
        </w:tc>
      </w:tr>
      <w:tr w:rsidR="0041317E" w:rsidRPr="0041317E" w14:paraId="15DF9BB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720504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B56DE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4471E6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Implementing the "Feedback and Iteration" strategy involves iteratively refining communication efforts based on insights gained from analytics, A/B testing, and feedback from backers and stakeholders. Here's a detailed breakdown of how this can be executed:</w:t>
            </w:r>
          </w:p>
        </w:tc>
        <w:tc>
          <w:tcPr>
            <w:tcW w:w="2566" w:type="dxa"/>
            <w:tcBorders>
              <w:top w:val="nil"/>
              <w:left w:val="nil"/>
              <w:bottom w:val="single" w:sz="4" w:space="0" w:color="auto"/>
              <w:right w:val="single" w:sz="4" w:space="0" w:color="auto"/>
            </w:tcBorders>
            <w:shd w:val="clear" w:color="auto" w:fill="auto"/>
            <w:hideMark/>
          </w:tcPr>
          <w:p w14:paraId="076702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3B799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E64A92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B9D419"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Analyzing Insights from Analytics:</w:t>
            </w:r>
          </w:p>
        </w:tc>
        <w:tc>
          <w:tcPr>
            <w:tcW w:w="6762" w:type="dxa"/>
            <w:tcBorders>
              <w:top w:val="nil"/>
              <w:left w:val="nil"/>
              <w:bottom w:val="single" w:sz="4" w:space="0" w:color="auto"/>
              <w:right w:val="single" w:sz="4" w:space="0" w:color="auto"/>
            </w:tcBorders>
            <w:shd w:val="clear" w:color="auto" w:fill="auto"/>
            <w:hideMark/>
          </w:tcPr>
          <w:p w14:paraId="120A8CE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9CBB7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E21534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FB3A0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2D566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Social Media Analytics: </w:t>
            </w:r>
          </w:p>
        </w:tc>
        <w:tc>
          <w:tcPr>
            <w:tcW w:w="6762" w:type="dxa"/>
            <w:tcBorders>
              <w:top w:val="nil"/>
              <w:left w:val="nil"/>
              <w:bottom w:val="single" w:sz="4" w:space="0" w:color="auto"/>
              <w:right w:val="single" w:sz="4" w:space="0" w:color="auto"/>
            </w:tcBorders>
            <w:shd w:val="clear" w:color="auto" w:fill="auto"/>
            <w:hideMark/>
          </w:tcPr>
          <w:p w14:paraId="6B589D8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Analyze engagement metrics on social media platforms to determine the effectiveness of different types of content, posting times, and messaging styles. Identify which posts generate the most likes, shares, and comments to understand audience preferences.</w:t>
            </w:r>
          </w:p>
        </w:tc>
        <w:tc>
          <w:tcPr>
            <w:tcW w:w="2566" w:type="dxa"/>
            <w:tcBorders>
              <w:top w:val="nil"/>
              <w:left w:val="nil"/>
              <w:bottom w:val="single" w:sz="4" w:space="0" w:color="auto"/>
              <w:right w:val="single" w:sz="4" w:space="0" w:color="auto"/>
            </w:tcBorders>
            <w:shd w:val="clear" w:color="auto" w:fill="auto"/>
            <w:hideMark/>
          </w:tcPr>
          <w:p w14:paraId="419F7A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8CCEEC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F855B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269010"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Email Newsletter Metrics: </w:t>
            </w:r>
          </w:p>
        </w:tc>
        <w:tc>
          <w:tcPr>
            <w:tcW w:w="6762" w:type="dxa"/>
            <w:tcBorders>
              <w:top w:val="nil"/>
              <w:left w:val="nil"/>
              <w:bottom w:val="single" w:sz="4" w:space="0" w:color="auto"/>
              <w:right w:val="single" w:sz="4" w:space="0" w:color="auto"/>
            </w:tcBorders>
            <w:shd w:val="clear" w:color="auto" w:fill="auto"/>
            <w:hideMark/>
          </w:tcPr>
          <w:p w14:paraId="747194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Evaluate email open rates, click-through rates, and conversion rates to assess the performance of email newsletters. Determine which subject lines, content formats, and calls-to-action resonate most with subscribers.</w:t>
            </w:r>
          </w:p>
        </w:tc>
        <w:tc>
          <w:tcPr>
            <w:tcW w:w="2566" w:type="dxa"/>
            <w:tcBorders>
              <w:top w:val="nil"/>
              <w:left w:val="nil"/>
              <w:bottom w:val="single" w:sz="4" w:space="0" w:color="auto"/>
              <w:right w:val="single" w:sz="4" w:space="0" w:color="auto"/>
            </w:tcBorders>
            <w:shd w:val="clear" w:color="auto" w:fill="auto"/>
            <w:hideMark/>
          </w:tcPr>
          <w:p w14:paraId="445E82C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5B8B46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8F12F3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AE4D8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Website Analytics: </w:t>
            </w:r>
          </w:p>
        </w:tc>
        <w:tc>
          <w:tcPr>
            <w:tcW w:w="6762" w:type="dxa"/>
            <w:tcBorders>
              <w:top w:val="nil"/>
              <w:left w:val="nil"/>
              <w:bottom w:val="single" w:sz="4" w:space="0" w:color="auto"/>
              <w:right w:val="single" w:sz="4" w:space="0" w:color="auto"/>
            </w:tcBorders>
            <w:shd w:val="clear" w:color="auto" w:fill="auto"/>
            <w:hideMark/>
          </w:tcPr>
          <w:p w14:paraId="44E1962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website analytics tools to track visitor behavior, navigation patterns, and conversion funnels. Identify high-performing pages, user flow bottlenecks, and areas for improvement in website design and content.</w:t>
            </w:r>
          </w:p>
        </w:tc>
        <w:tc>
          <w:tcPr>
            <w:tcW w:w="2566" w:type="dxa"/>
            <w:tcBorders>
              <w:top w:val="nil"/>
              <w:left w:val="nil"/>
              <w:bottom w:val="single" w:sz="4" w:space="0" w:color="auto"/>
              <w:right w:val="single" w:sz="4" w:space="0" w:color="auto"/>
            </w:tcBorders>
            <w:shd w:val="clear" w:color="auto" w:fill="auto"/>
            <w:hideMark/>
          </w:tcPr>
          <w:p w14:paraId="1D4B1D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9D95D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9EEF1D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C0DE68"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Press Release Tracking: </w:t>
            </w:r>
          </w:p>
        </w:tc>
        <w:tc>
          <w:tcPr>
            <w:tcW w:w="6762" w:type="dxa"/>
            <w:tcBorders>
              <w:top w:val="nil"/>
              <w:left w:val="nil"/>
              <w:bottom w:val="single" w:sz="4" w:space="0" w:color="auto"/>
              <w:right w:val="single" w:sz="4" w:space="0" w:color="auto"/>
            </w:tcBorders>
            <w:shd w:val="clear" w:color="auto" w:fill="auto"/>
            <w:hideMark/>
          </w:tcPr>
          <w:p w14:paraId="28212E3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media coverage and press release performance to measure the reach and impact of media outreach efforts. Track mentions in news articles, blog posts, and online publications to assess the campaign's visibility in the press.</w:t>
            </w:r>
          </w:p>
        </w:tc>
        <w:tc>
          <w:tcPr>
            <w:tcW w:w="2566" w:type="dxa"/>
            <w:tcBorders>
              <w:top w:val="nil"/>
              <w:left w:val="nil"/>
              <w:bottom w:val="single" w:sz="4" w:space="0" w:color="auto"/>
              <w:right w:val="single" w:sz="4" w:space="0" w:color="auto"/>
            </w:tcBorders>
            <w:shd w:val="clear" w:color="auto" w:fill="auto"/>
            <w:hideMark/>
          </w:tcPr>
          <w:p w14:paraId="1BF61C0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2EFD1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78AA23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7DDF8A"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Conducting A/B Testing:</w:t>
            </w:r>
          </w:p>
        </w:tc>
        <w:tc>
          <w:tcPr>
            <w:tcW w:w="6762" w:type="dxa"/>
            <w:tcBorders>
              <w:top w:val="nil"/>
              <w:left w:val="nil"/>
              <w:bottom w:val="single" w:sz="4" w:space="0" w:color="auto"/>
              <w:right w:val="single" w:sz="4" w:space="0" w:color="auto"/>
            </w:tcBorders>
            <w:shd w:val="clear" w:color="auto" w:fill="auto"/>
            <w:hideMark/>
          </w:tcPr>
          <w:p w14:paraId="23F576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D3674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D56F7D"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4B143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701E9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Messaging Variations: </w:t>
            </w:r>
          </w:p>
        </w:tc>
        <w:tc>
          <w:tcPr>
            <w:tcW w:w="6762" w:type="dxa"/>
            <w:tcBorders>
              <w:top w:val="nil"/>
              <w:left w:val="nil"/>
              <w:bottom w:val="single" w:sz="4" w:space="0" w:color="auto"/>
              <w:right w:val="single" w:sz="4" w:space="0" w:color="auto"/>
            </w:tcBorders>
            <w:shd w:val="clear" w:color="auto" w:fill="auto"/>
            <w:hideMark/>
          </w:tcPr>
          <w:p w14:paraId="3B5362F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Test different messaging variations, slogans, and taglines to determine which resonate most with the target audience. Experiment with tone, language, and content structure to identify the most effective communication strategies.</w:t>
            </w:r>
          </w:p>
        </w:tc>
        <w:tc>
          <w:tcPr>
            <w:tcW w:w="2566" w:type="dxa"/>
            <w:tcBorders>
              <w:top w:val="nil"/>
              <w:left w:val="nil"/>
              <w:bottom w:val="single" w:sz="4" w:space="0" w:color="auto"/>
              <w:right w:val="single" w:sz="4" w:space="0" w:color="auto"/>
            </w:tcBorders>
            <w:shd w:val="clear" w:color="auto" w:fill="auto"/>
            <w:hideMark/>
          </w:tcPr>
          <w:p w14:paraId="0908C0B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4C3EC4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A22ED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909675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Content Formats: </w:t>
            </w:r>
          </w:p>
        </w:tc>
        <w:tc>
          <w:tcPr>
            <w:tcW w:w="6762" w:type="dxa"/>
            <w:tcBorders>
              <w:top w:val="nil"/>
              <w:left w:val="nil"/>
              <w:bottom w:val="single" w:sz="4" w:space="0" w:color="auto"/>
              <w:right w:val="single" w:sz="4" w:space="0" w:color="auto"/>
            </w:tcBorders>
            <w:shd w:val="clear" w:color="auto" w:fill="auto"/>
            <w:hideMark/>
          </w:tcPr>
          <w:p w14:paraId="18CEC3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A/B tests on different content formats, such as text updates, videos, infographics, and live streams, to assess their impact on engagement and conversion rates. Determine which formats generate the highest levels of audience engagement and interaction.</w:t>
            </w:r>
          </w:p>
        </w:tc>
        <w:tc>
          <w:tcPr>
            <w:tcW w:w="2566" w:type="dxa"/>
            <w:tcBorders>
              <w:top w:val="nil"/>
              <w:left w:val="nil"/>
              <w:bottom w:val="single" w:sz="4" w:space="0" w:color="auto"/>
              <w:right w:val="single" w:sz="4" w:space="0" w:color="auto"/>
            </w:tcBorders>
            <w:shd w:val="clear" w:color="auto" w:fill="auto"/>
            <w:hideMark/>
          </w:tcPr>
          <w:p w14:paraId="4F1CF3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358D71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B4B4F5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2F41E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Call-to-Action Optimization: </w:t>
            </w:r>
          </w:p>
        </w:tc>
        <w:tc>
          <w:tcPr>
            <w:tcW w:w="6762" w:type="dxa"/>
            <w:tcBorders>
              <w:top w:val="nil"/>
              <w:left w:val="nil"/>
              <w:bottom w:val="single" w:sz="4" w:space="0" w:color="auto"/>
              <w:right w:val="single" w:sz="4" w:space="0" w:color="auto"/>
            </w:tcBorders>
            <w:shd w:val="clear" w:color="auto" w:fill="auto"/>
            <w:hideMark/>
          </w:tcPr>
          <w:p w14:paraId="2700F6F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Test variations of call-to-action (CTA) buttons, links, and prompts to optimize conversion rates. Experiment with CTA placement, wording, and design to encourage desired actions from backers.</w:t>
            </w:r>
          </w:p>
        </w:tc>
        <w:tc>
          <w:tcPr>
            <w:tcW w:w="2566" w:type="dxa"/>
            <w:tcBorders>
              <w:top w:val="nil"/>
              <w:left w:val="nil"/>
              <w:bottom w:val="single" w:sz="4" w:space="0" w:color="auto"/>
              <w:right w:val="single" w:sz="4" w:space="0" w:color="auto"/>
            </w:tcBorders>
            <w:shd w:val="clear" w:color="auto" w:fill="auto"/>
            <w:hideMark/>
          </w:tcPr>
          <w:p w14:paraId="6B0F41B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836062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24107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CB2614"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Gathering Feedback from Backers and Stakeholders:</w:t>
            </w:r>
          </w:p>
        </w:tc>
        <w:tc>
          <w:tcPr>
            <w:tcW w:w="6762" w:type="dxa"/>
            <w:tcBorders>
              <w:top w:val="nil"/>
              <w:left w:val="nil"/>
              <w:bottom w:val="single" w:sz="4" w:space="0" w:color="auto"/>
              <w:right w:val="single" w:sz="4" w:space="0" w:color="auto"/>
            </w:tcBorders>
            <w:shd w:val="clear" w:color="auto" w:fill="auto"/>
            <w:hideMark/>
          </w:tcPr>
          <w:p w14:paraId="3380AB2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A32C1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DDB177"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B97821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6606AA"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Surveys and Questionnaires: </w:t>
            </w:r>
          </w:p>
        </w:tc>
        <w:tc>
          <w:tcPr>
            <w:tcW w:w="6762" w:type="dxa"/>
            <w:tcBorders>
              <w:top w:val="nil"/>
              <w:left w:val="nil"/>
              <w:bottom w:val="single" w:sz="4" w:space="0" w:color="auto"/>
              <w:right w:val="single" w:sz="4" w:space="0" w:color="auto"/>
            </w:tcBorders>
            <w:shd w:val="clear" w:color="auto" w:fill="auto"/>
            <w:hideMark/>
          </w:tcPr>
          <w:p w14:paraId="3B1A99F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Collect feedback from backers and stakeholders through surveys, polls, and questionnaires to gather insights into their preferences, perceptions, and suggestions for improvement. Use open-ended questions to encourage detailed responses and qualitative feedback.</w:t>
            </w:r>
          </w:p>
        </w:tc>
        <w:tc>
          <w:tcPr>
            <w:tcW w:w="2566" w:type="dxa"/>
            <w:tcBorders>
              <w:top w:val="nil"/>
              <w:left w:val="nil"/>
              <w:bottom w:val="single" w:sz="4" w:space="0" w:color="auto"/>
              <w:right w:val="single" w:sz="4" w:space="0" w:color="auto"/>
            </w:tcBorders>
            <w:shd w:val="clear" w:color="auto" w:fill="auto"/>
            <w:hideMark/>
          </w:tcPr>
          <w:p w14:paraId="0690D2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CDDE2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FEE1D7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EE169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Forums and Discussions: </w:t>
            </w:r>
          </w:p>
        </w:tc>
        <w:tc>
          <w:tcPr>
            <w:tcW w:w="6762" w:type="dxa"/>
            <w:tcBorders>
              <w:top w:val="nil"/>
              <w:left w:val="nil"/>
              <w:bottom w:val="single" w:sz="4" w:space="0" w:color="auto"/>
              <w:right w:val="single" w:sz="4" w:space="0" w:color="auto"/>
            </w:tcBorders>
            <w:shd w:val="clear" w:color="auto" w:fill="auto"/>
            <w:hideMark/>
          </w:tcPr>
          <w:p w14:paraId="64E61C1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Engage with backers and stakeholders in community forums, discussion groups, and social media communities to solicit feedback, answer questions, and address concerns. Monitor discussions to identify recurring themes and areas for improvement.</w:t>
            </w:r>
          </w:p>
        </w:tc>
        <w:tc>
          <w:tcPr>
            <w:tcW w:w="2566" w:type="dxa"/>
            <w:tcBorders>
              <w:top w:val="nil"/>
              <w:left w:val="nil"/>
              <w:bottom w:val="single" w:sz="4" w:space="0" w:color="auto"/>
              <w:right w:val="single" w:sz="4" w:space="0" w:color="auto"/>
            </w:tcBorders>
            <w:shd w:val="clear" w:color="auto" w:fill="auto"/>
            <w:hideMark/>
          </w:tcPr>
          <w:p w14:paraId="6AD15C4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D6E65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0D0F1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CC0D9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Direct Communication Channels: </w:t>
            </w:r>
          </w:p>
        </w:tc>
        <w:tc>
          <w:tcPr>
            <w:tcW w:w="6762" w:type="dxa"/>
            <w:tcBorders>
              <w:top w:val="nil"/>
              <w:left w:val="nil"/>
              <w:bottom w:val="single" w:sz="4" w:space="0" w:color="auto"/>
              <w:right w:val="single" w:sz="4" w:space="0" w:color="auto"/>
            </w:tcBorders>
            <w:shd w:val="clear" w:color="auto" w:fill="auto"/>
            <w:hideMark/>
          </w:tcPr>
          <w:p w14:paraId="3133206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backers to provide feedback through direct communication channels, such as email, messaging apps, or dedicated feedback forms on the campaign website. Respond promptly to inquiries and feedback to demonstrate responsiveness and commitment to backers' needs.</w:t>
            </w:r>
          </w:p>
        </w:tc>
        <w:tc>
          <w:tcPr>
            <w:tcW w:w="2566" w:type="dxa"/>
            <w:tcBorders>
              <w:top w:val="nil"/>
              <w:left w:val="nil"/>
              <w:bottom w:val="single" w:sz="4" w:space="0" w:color="auto"/>
              <w:right w:val="single" w:sz="4" w:space="0" w:color="auto"/>
            </w:tcBorders>
            <w:shd w:val="clear" w:color="auto" w:fill="auto"/>
            <w:hideMark/>
          </w:tcPr>
          <w:p w14:paraId="116E985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A4952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14EB1C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306FEE7"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Iterative Refinement of Communication Efforts:</w:t>
            </w:r>
          </w:p>
        </w:tc>
        <w:tc>
          <w:tcPr>
            <w:tcW w:w="6762" w:type="dxa"/>
            <w:tcBorders>
              <w:top w:val="nil"/>
              <w:left w:val="nil"/>
              <w:bottom w:val="single" w:sz="4" w:space="0" w:color="auto"/>
              <w:right w:val="single" w:sz="4" w:space="0" w:color="auto"/>
            </w:tcBorders>
            <w:shd w:val="clear" w:color="auto" w:fill="auto"/>
            <w:hideMark/>
          </w:tcPr>
          <w:p w14:paraId="7E6DB51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1C8279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78C5A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2FB520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860A31"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Continuous Optimization: </w:t>
            </w:r>
          </w:p>
        </w:tc>
        <w:tc>
          <w:tcPr>
            <w:tcW w:w="6762" w:type="dxa"/>
            <w:tcBorders>
              <w:top w:val="nil"/>
              <w:left w:val="nil"/>
              <w:bottom w:val="single" w:sz="4" w:space="0" w:color="auto"/>
              <w:right w:val="single" w:sz="4" w:space="0" w:color="auto"/>
            </w:tcBorders>
            <w:shd w:val="clear" w:color="auto" w:fill="auto"/>
            <w:hideMark/>
          </w:tcPr>
          <w:p w14:paraId="6741D0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Based on insights from analytics, A/B testing, and feedback, iteratively refine communication efforts to optimize messaging, content, and engagement strategies. Implement changes incrementally and monitor the impact on campaign performance metrics.</w:t>
            </w:r>
          </w:p>
        </w:tc>
        <w:tc>
          <w:tcPr>
            <w:tcW w:w="2566" w:type="dxa"/>
            <w:tcBorders>
              <w:top w:val="nil"/>
              <w:left w:val="nil"/>
              <w:bottom w:val="single" w:sz="4" w:space="0" w:color="auto"/>
              <w:right w:val="single" w:sz="4" w:space="0" w:color="auto"/>
            </w:tcBorders>
            <w:shd w:val="clear" w:color="auto" w:fill="auto"/>
            <w:hideMark/>
          </w:tcPr>
          <w:p w14:paraId="62DCD2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D51366"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5044147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ED2609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Adaptive Strategy: </w:t>
            </w:r>
          </w:p>
        </w:tc>
        <w:tc>
          <w:tcPr>
            <w:tcW w:w="6762" w:type="dxa"/>
            <w:tcBorders>
              <w:top w:val="nil"/>
              <w:left w:val="nil"/>
              <w:bottom w:val="single" w:sz="4" w:space="0" w:color="auto"/>
              <w:right w:val="single" w:sz="4" w:space="0" w:color="auto"/>
            </w:tcBorders>
            <w:shd w:val="clear" w:color="auto" w:fill="auto"/>
            <w:hideMark/>
          </w:tcPr>
          <w:p w14:paraId="47D14E2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Remain flexible and adaptive in communication strategy, adjusting tactics and messaging based on evolving audience preferences, market trends, and campaign objectives. Continuously experiment with new approaches and creative ideas to maintain engagement and momentum throughout the campaign.</w:t>
            </w:r>
          </w:p>
        </w:tc>
        <w:tc>
          <w:tcPr>
            <w:tcW w:w="2566" w:type="dxa"/>
            <w:tcBorders>
              <w:top w:val="nil"/>
              <w:left w:val="nil"/>
              <w:bottom w:val="single" w:sz="4" w:space="0" w:color="auto"/>
              <w:right w:val="single" w:sz="4" w:space="0" w:color="auto"/>
            </w:tcBorders>
            <w:shd w:val="clear" w:color="auto" w:fill="auto"/>
            <w:hideMark/>
          </w:tcPr>
          <w:p w14:paraId="43AF6C2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F62F2D"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855F3D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794DE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Data-Driven Decision-Making: </w:t>
            </w:r>
          </w:p>
        </w:tc>
        <w:tc>
          <w:tcPr>
            <w:tcW w:w="6762" w:type="dxa"/>
            <w:tcBorders>
              <w:top w:val="nil"/>
              <w:left w:val="nil"/>
              <w:bottom w:val="single" w:sz="4" w:space="0" w:color="auto"/>
              <w:right w:val="single" w:sz="4" w:space="0" w:color="auto"/>
            </w:tcBorders>
            <w:shd w:val="clear" w:color="auto" w:fill="auto"/>
            <w:hideMark/>
          </w:tcPr>
          <w:p w14:paraId="0CADC6D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Prioritize data-driven decision-making, using quantitative and qualitative insights to guide communication strategy and tactics. Regularly review performance metrics and feedback to identify areas of success and areas for improvement, iterating and refining communication efforts accordingly.</w:t>
            </w:r>
          </w:p>
        </w:tc>
        <w:tc>
          <w:tcPr>
            <w:tcW w:w="2566" w:type="dxa"/>
            <w:tcBorders>
              <w:top w:val="nil"/>
              <w:left w:val="nil"/>
              <w:bottom w:val="single" w:sz="4" w:space="0" w:color="auto"/>
              <w:right w:val="single" w:sz="4" w:space="0" w:color="auto"/>
            </w:tcBorders>
            <w:shd w:val="clear" w:color="auto" w:fill="auto"/>
            <w:hideMark/>
          </w:tcPr>
          <w:p w14:paraId="01B1397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0EBF2E" w14:textId="77777777" w:rsidTr="0041317E">
        <w:trPr>
          <w:trHeight w:val="2184"/>
        </w:trPr>
        <w:tc>
          <w:tcPr>
            <w:tcW w:w="1349" w:type="dxa"/>
            <w:tcBorders>
              <w:top w:val="nil"/>
              <w:left w:val="single" w:sz="4" w:space="0" w:color="auto"/>
              <w:bottom w:val="single" w:sz="4" w:space="0" w:color="auto"/>
              <w:right w:val="single" w:sz="4" w:space="0" w:color="auto"/>
            </w:tcBorders>
            <w:shd w:val="clear" w:color="auto" w:fill="auto"/>
            <w:hideMark/>
          </w:tcPr>
          <w:p w14:paraId="2D7C73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A6879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Refinement: </w:t>
            </w:r>
          </w:p>
        </w:tc>
        <w:tc>
          <w:tcPr>
            <w:tcW w:w="6762" w:type="dxa"/>
            <w:tcBorders>
              <w:top w:val="nil"/>
              <w:left w:val="nil"/>
              <w:bottom w:val="single" w:sz="4" w:space="0" w:color="auto"/>
              <w:right w:val="single" w:sz="4" w:space="0" w:color="auto"/>
            </w:tcBorders>
            <w:shd w:val="clear" w:color="auto" w:fill="auto"/>
            <w:hideMark/>
          </w:tcPr>
          <w:p w14:paraId="34FE2D1F"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iteratively refining communication efforts based on insights from analytics, A/B testing, and feedback, the campaign can optimize messaging, content, and engagement strategies to effectively communicate with potential backers and stakeholders throughout the campaign. This data-driven approach ensures that communication tactics are continuously refined and optimized to maximize reach, engagement, and support for the project.</w:t>
            </w:r>
          </w:p>
        </w:tc>
        <w:tc>
          <w:tcPr>
            <w:tcW w:w="2566" w:type="dxa"/>
            <w:tcBorders>
              <w:top w:val="nil"/>
              <w:left w:val="nil"/>
              <w:bottom w:val="single" w:sz="4" w:space="0" w:color="auto"/>
              <w:right w:val="single" w:sz="4" w:space="0" w:color="auto"/>
            </w:tcBorders>
            <w:shd w:val="clear" w:color="auto" w:fill="auto"/>
            <w:hideMark/>
          </w:tcPr>
          <w:p w14:paraId="1615D8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280AD0" w14:textId="77777777" w:rsidTr="0041317E">
        <w:trPr>
          <w:trHeight w:val="3168"/>
        </w:trPr>
        <w:tc>
          <w:tcPr>
            <w:tcW w:w="1349" w:type="dxa"/>
            <w:tcBorders>
              <w:top w:val="nil"/>
              <w:left w:val="single" w:sz="4" w:space="0" w:color="auto"/>
              <w:bottom w:val="single" w:sz="4" w:space="0" w:color="auto"/>
              <w:right w:val="single" w:sz="4" w:space="0" w:color="auto"/>
            </w:tcBorders>
            <w:shd w:val="clear" w:color="auto" w:fill="auto"/>
            <w:hideMark/>
          </w:tcPr>
          <w:p w14:paraId="53C9365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369C0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6. Feedback and Iteration:</w:t>
            </w:r>
          </w:p>
        </w:tc>
        <w:tc>
          <w:tcPr>
            <w:tcW w:w="6762" w:type="dxa"/>
            <w:tcBorders>
              <w:top w:val="nil"/>
              <w:left w:val="nil"/>
              <w:bottom w:val="single" w:sz="4" w:space="0" w:color="auto"/>
              <w:right w:val="single" w:sz="4" w:space="0" w:color="auto"/>
            </w:tcBorders>
            <w:shd w:val="clear" w:color="auto" w:fill="auto"/>
            <w:hideMark/>
          </w:tcPr>
          <w:p w14:paraId="6F0D362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Continuously adapt and optimize communication strategies to maximize reach, engagement, and conversion rates throughout the campaign.</w:t>
            </w:r>
          </w:p>
        </w:tc>
        <w:tc>
          <w:tcPr>
            <w:tcW w:w="2566" w:type="dxa"/>
            <w:tcBorders>
              <w:top w:val="nil"/>
              <w:left w:val="nil"/>
              <w:bottom w:val="single" w:sz="4" w:space="0" w:color="auto"/>
              <w:right w:val="single" w:sz="4" w:space="0" w:color="auto"/>
            </w:tcBorders>
            <w:shd w:val="clear" w:color="auto" w:fill="auto"/>
            <w:hideMark/>
          </w:tcPr>
          <w:p w14:paraId="68E430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Do people prefer email, or chatbot, or community committee response.  Since programmers are spending time programming they are not reading up on all boards. Finding ways to send feedback from a user account to the main community email repository.</w:t>
            </w:r>
          </w:p>
        </w:tc>
      </w:tr>
      <w:tr w:rsidR="0041317E" w:rsidRPr="0041317E" w14:paraId="2DFF075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C3382C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2C4B5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52C33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F17C57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B05D06"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BC9D19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79D1F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1. Analyzing User Preferences:</w:t>
            </w:r>
          </w:p>
        </w:tc>
        <w:tc>
          <w:tcPr>
            <w:tcW w:w="6762" w:type="dxa"/>
            <w:tcBorders>
              <w:top w:val="nil"/>
              <w:left w:val="nil"/>
              <w:bottom w:val="single" w:sz="4" w:space="0" w:color="auto"/>
              <w:right w:val="single" w:sz="4" w:space="0" w:color="auto"/>
            </w:tcBorders>
            <w:shd w:val="clear" w:color="auto" w:fill="auto"/>
            <w:hideMark/>
          </w:tcPr>
          <w:p w14:paraId="7479ABB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BDF0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F09984"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FED91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FBC77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Surveying Backers: </w:t>
            </w:r>
          </w:p>
        </w:tc>
        <w:tc>
          <w:tcPr>
            <w:tcW w:w="6762" w:type="dxa"/>
            <w:tcBorders>
              <w:top w:val="nil"/>
              <w:left w:val="nil"/>
              <w:bottom w:val="single" w:sz="4" w:space="0" w:color="auto"/>
              <w:right w:val="single" w:sz="4" w:space="0" w:color="auto"/>
            </w:tcBorders>
            <w:shd w:val="clear" w:color="auto" w:fill="auto"/>
            <w:hideMark/>
          </w:tcPr>
          <w:p w14:paraId="7120CE4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surveys to gather insights into user preferences regarding communication channels. Ask backers which platforms they prefer for receiving updates and providing feedback, such as email, chatbots, or community forums.</w:t>
            </w:r>
          </w:p>
        </w:tc>
        <w:tc>
          <w:tcPr>
            <w:tcW w:w="2566" w:type="dxa"/>
            <w:tcBorders>
              <w:top w:val="nil"/>
              <w:left w:val="nil"/>
              <w:bottom w:val="single" w:sz="4" w:space="0" w:color="auto"/>
              <w:right w:val="single" w:sz="4" w:space="0" w:color="auto"/>
            </w:tcBorders>
            <w:shd w:val="clear" w:color="auto" w:fill="auto"/>
            <w:hideMark/>
          </w:tcPr>
          <w:p w14:paraId="1295E7F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3724D1"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83E2BE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280E2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Analyzing Engagement Metrics: </w:t>
            </w:r>
          </w:p>
        </w:tc>
        <w:tc>
          <w:tcPr>
            <w:tcW w:w="6762" w:type="dxa"/>
            <w:tcBorders>
              <w:top w:val="nil"/>
              <w:left w:val="nil"/>
              <w:bottom w:val="single" w:sz="4" w:space="0" w:color="auto"/>
              <w:right w:val="single" w:sz="4" w:space="0" w:color="auto"/>
            </w:tcBorders>
            <w:shd w:val="clear" w:color="auto" w:fill="auto"/>
            <w:hideMark/>
          </w:tcPr>
          <w:p w14:paraId="0FB477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Track engagement metrics across different communication channels to identify trends and preferences. Measure open rates, click-through rates, response rates, and conversion rates to assess the effectiveness of each channel.</w:t>
            </w:r>
          </w:p>
        </w:tc>
        <w:tc>
          <w:tcPr>
            <w:tcW w:w="2566" w:type="dxa"/>
            <w:tcBorders>
              <w:top w:val="nil"/>
              <w:left w:val="nil"/>
              <w:bottom w:val="single" w:sz="4" w:space="0" w:color="auto"/>
              <w:right w:val="single" w:sz="4" w:space="0" w:color="auto"/>
            </w:tcBorders>
            <w:shd w:val="clear" w:color="auto" w:fill="auto"/>
            <w:hideMark/>
          </w:tcPr>
          <w:p w14:paraId="194D580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9190C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98C2DB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C2530C"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User Testing: </w:t>
            </w:r>
          </w:p>
        </w:tc>
        <w:tc>
          <w:tcPr>
            <w:tcW w:w="6762" w:type="dxa"/>
            <w:tcBorders>
              <w:top w:val="nil"/>
              <w:left w:val="nil"/>
              <w:bottom w:val="single" w:sz="4" w:space="0" w:color="auto"/>
              <w:right w:val="single" w:sz="4" w:space="0" w:color="auto"/>
            </w:tcBorders>
            <w:shd w:val="clear" w:color="auto" w:fill="auto"/>
            <w:hideMark/>
          </w:tcPr>
          <w:p w14:paraId="16F8A2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Conduct user testing to evaluate the usability and effectiveness of different communication channels. Gather feedback from backers on their experiences with email newsletters, chatbots, and community forums to identify areas for improvement.</w:t>
            </w:r>
          </w:p>
        </w:tc>
        <w:tc>
          <w:tcPr>
            <w:tcW w:w="2566" w:type="dxa"/>
            <w:tcBorders>
              <w:top w:val="nil"/>
              <w:left w:val="nil"/>
              <w:bottom w:val="single" w:sz="4" w:space="0" w:color="auto"/>
              <w:right w:val="single" w:sz="4" w:space="0" w:color="auto"/>
            </w:tcBorders>
            <w:shd w:val="clear" w:color="auto" w:fill="auto"/>
            <w:hideMark/>
          </w:tcPr>
          <w:p w14:paraId="5B70199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98951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96C694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109998"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2. Personalizing Communication Channels:</w:t>
            </w:r>
          </w:p>
        </w:tc>
        <w:tc>
          <w:tcPr>
            <w:tcW w:w="6762" w:type="dxa"/>
            <w:tcBorders>
              <w:top w:val="nil"/>
              <w:left w:val="nil"/>
              <w:bottom w:val="single" w:sz="4" w:space="0" w:color="auto"/>
              <w:right w:val="single" w:sz="4" w:space="0" w:color="auto"/>
            </w:tcBorders>
            <w:shd w:val="clear" w:color="auto" w:fill="auto"/>
            <w:hideMark/>
          </w:tcPr>
          <w:p w14:paraId="1AE1484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F9E2FB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EA5E6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29C23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FDE89D"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Tailored Messaging: </w:t>
            </w:r>
          </w:p>
        </w:tc>
        <w:tc>
          <w:tcPr>
            <w:tcW w:w="6762" w:type="dxa"/>
            <w:tcBorders>
              <w:top w:val="nil"/>
              <w:left w:val="nil"/>
              <w:bottom w:val="single" w:sz="4" w:space="0" w:color="auto"/>
              <w:right w:val="single" w:sz="4" w:space="0" w:color="auto"/>
            </w:tcBorders>
            <w:shd w:val="clear" w:color="auto" w:fill="auto"/>
            <w:hideMark/>
          </w:tcPr>
          <w:p w14:paraId="69D19E2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Personalize communication based on user preferences and behavior. Send targeted emails with relevant content based on backers' interests, engagement history, and contribution levels.</w:t>
            </w:r>
          </w:p>
        </w:tc>
        <w:tc>
          <w:tcPr>
            <w:tcW w:w="2566" w:type="dxa"/>
            <w:tcBorders>
              <w:top w:val="nil"/>
              <w:left w:val="nil"/>
              <w:bottom w:val="single" w:sz="4" w:space="0" w:color="auto"/>
              <w:right w:val="single" w:sz="4" w:space="0" w:color="auto"/>
            </w:tcBorders>
            <w:shd w:val="clear" w:color="auto" w:fill="auto"/>
            <w:hideMark/>
          </w:tcPr>
          <w:p w14:paraId="29AD5D8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0CADFF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C33BAF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98FFE2"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Dynamic Content: </w:t>
            </w:r>
          </w:p>
        </w:tc>
        <w:tc>
          <w:tcPr>
            <w:tcW w:w="6762" w:type="dxa"/>
            <w:tcBorders>
              <w:top w:val="nil"/>
              <w:left w:val="nil"/>
              <w:bottom w:val="single" w:sz="4" w:space="0" w:color="auto"/>
              <w:right w:val="single" w:sz="4" w:space="0" w:color="auto"/>
            </w:tcBorders>
            <w:shd w:val="clear" w:color="auto" w:fill="auto"/>
            <w:hideMark/>
          </w:tcPr>
          <w:p w14:paraId="039D4CA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Utilize dynamic content in email newsletters and chatbot interactions to deliver personalized recommendations, updates, and rewards based on user profiles and interactions.</w:t>
            </w:r>
          </w:p>
        </w:tc>
        <w:tc>
          <w:tcPr>
            <w:tcW w:w="2566" w:type="dxa"/>
            <w:tcBorders>
              <w:top w:val="nil"/>
              <w:left w:val="nil"/>
              <w:bottom w:val="single" w:sz="4" w:space="0" w:color="auto"/>
              <w:right w:val="single" w:sz="4" w:space="0" w:color="auto"/>
            </w:tcBorders>
            <w:shd w:val="clear" w:color="auto" w:fill="auto"/>
            <w:hideMark/>
          </w:tcPr>
          <w:p w14:paraId="449199E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B6FDD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1FF739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001D4F9"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Segmentation: </w:t>
            </w:r>
          </w:p>
        </w:tc>
        <w:tc>
          <w:tcPr>
            <w:tcW w:w="6762" w:type="dxa"/>
            <w:tcBorders>
              <w:top w:val="nil"/>
              <w:left w:val="nil"/>
              <w:bottom w:val="single" w:sz="4" w:space="0" w:color="auto"/>
              <w:right w:val="single" w:sz="4" w:space="0" w:color="auto"/>
            </w:tcBorders>
            <w:shd w:val="clear" w:color="auto" w:fill="auto"/>
            <w:hideMark/>
          </w:tcPr>
          <w:p w14:paraId="415436F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Segment backers into groups based on their communication preferences, demographics, or past interactions. Tailor messaging and outreach efforts to each segment to maximize relevance and engagement.</w:t>
            </w:r>
          </w:p>
        </w:tc>
        <w:tc>
          <w:tcPr>
            <w:tcW w:w="2566" w:type="dxa"/>
            <w:tcBorders>
              <w:top w:val="nil"/>
              <w:left w:val="nil"/>
              <w:bottom w:val="single" w:sz="4" w:space="0" w:color="auto"/>
              <w:right w:val="single" w:sz="4" w:space="0" w:color="auto"/>
            </w:tcBorders>
            <w:shd w:val="clear" w:color="auto" w:fill="auto"/>
            <w:hideMark/>
          </w:tcPr>
          <w:p w14:paraId="56CE5C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53BC8B9"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835DA9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10458C"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3. Integrating Feedback Mechanisms:</w:t>
            </w:r>
          </w:p>
        </w:tc>
        <w:tc>
          <w:tcPr>
            <w:tcW w:w="6762" w:type="dxa"/>
            <w:tcBorders>
              <w:top w:val="nil"/>
              <w:left w:val="nil"/>
              <w:bottom w:val="single" w:sz="4" w:space="0" w:color="auto"/>
              <w:right w:val="single" w:sz="4" w:space="0" w:color="auto"/>
            </w:tcBorders>
            <w:shd w:val="clear" w:color="auto" w:fill="auto"/>
            <w:hideMark/>
          </w:tcPr>
          <w:p w14:paraId="3C48F28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58C5F9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C8A3CF"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19022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92B6E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Feedback Forms: </w:t>
            </w:r>
          </w:p>
        </w:tc>
        <w:tc>
          <w:tcPr>
            <w:tcW w:w="6762" w:type="dxa"/>
            <w:tcBorders>
              <w:top w:val="nil"/>
              <w:left w:val="nil"/>
              <w:bottom w:val="single" w:sz="4" w:space="0" w:color="auto"/>
              <w:right w:val="single" w:sz="4" w:space="0" w:color="auto"/>
            </w:tcBorders>
            <w:shd w:val="clear" w:color="auto" w:fill="auto"/>
            <w:hideMark/>
          </w:tcPr>
          <w:p w14:paraId="2480C0B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Implement feedback forms or surveys within the campaign website or app to collect user feedback directly. Allow backers to submit suggestions, questions, and concerns easily from their user accounts.</w:t>
            </w:r>
          </w:p>
        </w:tc>
        <w:tc>
          <w:tcPr>
            <w:tcW w:w="2566" w:type="dxa"/>
            <w:tcBorders>
              <w:top w:val="nil"/>
              <w:left w:val="nil"/>
              <w:bottom w:val="single" w:sz="4" w:space="0" w:color="auto"/>
              <w:right w:val="single" w:sz="4" w:space="0" w:color="auto"/>
            </w:tcBorders>
            <w:shd w:val="clear" w:color="auto" w:fill="auto"/>
            <w:hideMark/>
          </w:tcPr>
          <w:p w14:paraId="7A6E413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508FD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6412B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27AAA6"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Chatbot Feedback: </w:t>
            </w:r>
          </w:p>
        </w:tc>
        <w:tc>
          <w:tcPr>
            <w:tcW w:w="6762" w:type="dxa"/>
            <w:tcBorders>
              <w:top w:val="nil"/>
              <w:left w:val="nil"/>
              <w:bottom w:val="single" w:sz="4" w:space="0" w:color="auto"/>
              <w:right w:val="single" w:sz="4" w:space="0" w:color="auto"/>
            </w:tcBorders>
            <w:shd w:val="clear" w:color="auto" w:fill="auto"/>
            <w:hideMark/>
          </w:tcPr>
          <w:p w14:paraId="55CA958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Integrate feedback mechanisms into chatbots to enable backers to provide input and suggestions directly through chat interactions. Use natural language processing to understand and categorize feedback for analysis.</w:t>
            </w:r>
          </w:p>
        </w:tc>
        <w:tc>
          <w:tcPr>
            <w:tcW w:w="2566" w:type="dxa"/>
            <w:tcBorders>
              <w:top w:val="nil"/>
              <w:left w:val="nil"/>
              <w:bottom w:val="single" w:sz="4" w:space="0" w:color="auto"/>
              <w:right w:val="single" w:sz="4" w:space="0" w:color="auto"/>
            </w:tcBorders>
            <w:shd w:val="clear" w:color="auto" w:fill="auto"/>
            <w:hideMark/>
          </w:tcPr>
          <w:p w14:paraId="57D7DD4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20A43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0ABC51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B3BDF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Community Forums: </w:t>
            </w:r>
          </w:p>
        </w:tc>
        <w:tc>
          <w:tcPr>
            <w:tcW w:w="6762" w:type="dxa"/>
            <w:tcBorders>
              <w:top w:val="nil"/>
              <w:left w:val="nil"/>
              <w:bottom w:val="single" w:sz="4" w:space="0" w:color="auto"/>
              <w:right w:val="single" w:sz="4" w:space="0" w:color="auto"/>
            </w:tcBorders>
            <w:shd w:val="clear" w:color="auto" w:fill="auto"/>
            <w:hideMark/>
          </w:tcPr>
          <w:p w14:paraId="228CA88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Encourage backers to provide feedback and engage in discussions on community forums or discussion boards. Monitor forum activity and respond promptly to feedback to demonstrate responsiveness and foster a sense of community.</w:t>
            </w:r>
          </w:p>
        </w:tc>
        <w:tc>
          <w:tcPr>
            <w:tcW w:w="2566" w:type="dxa"/>
            <w:tcBorders>
              <w:top w:val="nil"/>
              <w:left w:val="nil"/>
              <w:bottom w:val="single" w:sz="4" w:space="0" w:color="auto"/>
              <w:right w:val="single" w:sz="4" w:space="0" w:color="auto"/>
            </w:tcBorders>
            <w:shd w:val="clear" w:color="auto" w:fill="auto"/>
            <w:hideMark/>
          </w:tcPr>
          <w:p w14:paraId="092AAC4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AF901D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049C70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66001B"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4. Streamlining Communication Processes:</w:t>
            </w:r>
          </w:p>
        </w:tc>
        <w:tc>
          <w:tcPr>
            <w:tcW w:w="6762" w:type="dxa"/>
            <w:tcBorders>
              <w:top w:val="nil"/>
              <w:left w:val="nil"/>
              <w:bottom w:val="single" w:sz="4" w:space="0" w:color="auto"/>
              <w:right w:val="single" w:sz="4" w:space="0" w:color="auto"/>
            </w:tcBorders>
            <w:shd w:val="clear" w:color="auto" w:fill="auto"/>
            <w:hideMark/>
          </w:tcPr>
          <w:p w14:paraId="591F097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6BAE5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B0DF6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5DC792A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5207C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Centralized Communication Hub: </w:t>
            </w:r>
          </w:p>
        </w:tc>
        <w:tc>
          <w:tcPr>
            <w:tcW w:w="6762" w:type="dxa"/>
            <w:tcBorders>
              <w:top w:val="nil"/>
              <w:left w:val="nil"/>
              <w:bottom w:val="single" w:sz="4" w:space="0" w:color="auto"/>
              <w:right w:val="single" w:sz="4" w:space="0" w:color="auto"/>
            </w:tcBorders>
            <w:shd w:val="clear" w:color="auto" w:fill="auto"/>
            <w:hideMark/>
          </w:tcPr>
          <w:p w14:paraId="02023C5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Establish a centralized communication hub where backers can access all campaign updates, announcements, and feedback channels in one place. Provide links to email newsletters, chatbots, community forums, and feedback forms for easy access.</w:t>
            </w:r>
          </w:p>
        </w:tc>
        <w:tc>
          <w:tcPr>
            <w:tcW w:w="2566" w:type="dxa"/>
            <w:tcBorders>
              <w:top w:val="nil"/>
              <w:left w:val="nil"/>
              <w:bottom w:val="single" w:sz="4" w:space="0" w:color="auto"/>
              <w:right w:val="single" w:sz="4" w:space="0" w:color="auto"/>
            </w:tcBorders>
            <w:shd w:val="clear" w:color="auto" w:fill="auto"/>
            <w:hideMark/>
          </w:tcPr>
          <w:p w14:paraId="2AD162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964316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578191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B683013"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Automated Responses: </w:t>
            </w:r>
          </w:p>
        </w:tc>
        <w:tc>
          <w:tcPr>
            <w:tcW w:w="6762" w:type="dxa"/>
            <w:tcBorders>
              <w:top w:val="nil"/>
              <w:left w:val="nil"/>
              <w:bottom w:val="single" w:sz="4" w:space="0" w:color="auto"/>
              <w:right w:val="single" w:sz="4" w:space="0" w:color="auto"/>
            </w:tcBorders>
            <w:shd w:val="clear" w:color="auto" w:fill="auto"/>
            <w:hideMark/>
          </w:tcPr>
          <w:p w14:paraId="570907C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Implement automated responses and workflows to streamline communication processes and handle common inquiries or requests efficiently. Use chatbots to provide instant responses to frequently asked questions and route complex queries to human support agents.</w:t>
            </w:r>
          </w:p>
        </w:tc>
        <w:tc>
          <w:tcPr>
            <w:tcW w:w="2566" w:type="dxa"/>
            <w:tcBorders>
              <w:top w:val="nil"/>
              <w:left w:val="nil"/>
              <w:bottom w:val="single" w:sz="4" w:space="0" w:color="auto"/>
              <w:right w:val="single" w:sz="4" w:space="0" w:color="auto"/>
            </w:tcBorders>
            <w:shd w:val="clear" w:color="auto" w:fill="auto"/>
            <w:hideMark/>
          </w:tcPr>
          <w:p w14:paraId="107BD34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E5D7CAE"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3C8905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5540FB"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Real-Time Notifications: </w:t>
            </w:r>
          </w:p>
        </w:tc>
        <w:tc>
          <w:tcPr>
            <w:tcW w:w="6762" w:type="dxa"/>
            <w:tcBorders>
              <w:top w:val="nil"/>
              <w:left w:val="nil"/>
              <w:bottom w:val="single" w:sz="4" w:space="0" w:color="auto"/>
              <w:right w:val="single" w:sz="4" w:space="0" w:color="auto"/>
            </w:tcBorders>
            <w:shd w:val="clear" w:color="auto" w:fill="auto"/>
            <w:hideMark/>
          </w:tcPr>
          <w:p w14:paraId="31AA909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Enable real-time notifications for important updates and announcements to keep backers informed and engaged. Notify backers of new campaign milestones, stretch goals, or limited-time offers via email, chatbot messages, or push notifications.</w:t>
            </w:r>
          </w:p>
        </w:tc>
        <w:tc>
          <w:tcPr>
            <w:tcW w:w="2566" w:type="dxa"/>
            <w:tcBorders>
              <w:top w:val="nil"/>
              <w:left w:val="nil"/>
              <w:bottom w:val="single" w:sz="4" w:space="0" w:color="auto"/>
              <w:right w:val="single" w:sz="4" w:space="0" w:color="auto"/>
            </w:tcBorders>
            <w:shd w:val="clear" w:color="auto" w:fill="auto"/>
            <w:hideMark/>
          </w:tcPr>
          <w:p w14:paraId="7779953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A02855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384C6B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C7904E" w14:textId="77777777" w:rsidR="0041317E" w:rsidRPr="0041317E" w:rsidRDefault="0041317E" w:rsidP="0041317E">
            <w:pPr>
              <w:spacing w:after="0" w:line="240" w:lineRule="auto"/>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5. Continuous Optimization:</w:t>
            </w:r>
          </w:p>
        </w:tc>
        <w:tc>
          <w:tcPr>
            <w:tcW w:w="6762" w:type="dxa"/>
            <w:tcBorders>
              <w:top w:val="nil"/>
              <w:left w:val="nil"/>
              <w:bottom w:val="single" w:sz="4" w:space="0" w:color="auto"/>
              <w:right w:val="single" w:sz="4" w:space="0" w:color="auto"/>
            </w:tcBorders>
            <w:shd w:val="clear" w:color="auto" w:fill="auto"/>
            <w:hideMark/>
          </w:tcPr>
          <w:p w14:paraId="0DF7BA8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3BCB8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E2BFEB"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DC270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756297"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Iterative Testing: </w:t>
            </w:r>
          </w:p>
        </w:tc>
        <w:tc>
          <w:tcPr>
            <w:tcW w:w="6762" w:type="dxa"/>
            <w:tcBorders>
              <w:top w:val="nil"/>
              <w:left w:val="nil"/>
              <w:bottom w:val="single" w:sz="4" w:space="0" w:color="auto"/>
              <w:right w:val="single" w:sz="4" w:space="0" w:color="auto"/>
            </w:tcBorders>
            <w:shd w:val="clear" w:color="auto" w:fill="auto"/>
            <w:hideMark/>
          </w:tcPr>
          <w:p w14:paraId="1D541C0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Continuously test and refine communication strategies based on user feedback and performance metrics. Experiment with different messaging styles, content formats, and communication channels to identify the most effective approaches.</w:t>
            </w:r>
          </w:p>
        </w:tc>
        <w:tc>
          <w:tcPr>
            <w:tcW w:w="2566" w:type="dxa"/>
            <w:tcBorders>
              <w:top w:val="nil"/>
              <w:left w:val="nil"/>
              <w:bottom w:val="single" w:sz="4" w:space="0" w:color="auto"/>
              <w:right w:val="single" w:sz="4" w:space="0" w:color="auto"/>
            </w:tcBorders>
            <w:shd w:val="clear" w:color="auto" w:fill="auto"/>
            <w:hideMark/>
          </w:tcPr>
          <w:p w14:paraId="3EC475A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B39007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2E966F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F1F442F"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Data-Driven Decision Making: </w:t>
            </w:r>
          </w:p>
        </w:tc>
        <w:tc>
          <w:tcPr>
            <w:tcW w:w="6762" w:type="dxa"/>
            <w:tcBorders>
              <w:top w:val="nil"/>
              <w:left w:val="nil"/>
              <w:bottom w:val="single" w:sz="4" w:space="0" w:color="auto"/>
              <w:right w:val="single" w:sz="4" w:space="0" w:color="auto"/>
            </w:tcBorders>
            <w:shd w:val="clear" w:color="auto" w:fill="auto"/>
            <w:hideMark/>
          </w:tcPr>
          <w:p w14:paraId="3D8772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Base communication strategy decisions on data and insights gathered from user feedback, engagement metrics, and A/B testing results. Use quantitative and qualitative data to inform optimization efforts and drive continuous improvement.</w:t>
            </w:r>
          </w:p>
        </w:tc>
        <w:tc>
          <w:tcPr>
            <w:tcW w:w="2566" w:type="dxa"/>
            <w:tcBorders>
              <w:top w:val="nil"/>
              <w:left w:val="nil"/>
              <w:bottom w:val="single" w:sz="4" w:space="0" w:color="auto"/>
              <w:right w:val="single" w:sz="4" w:space="0" w:color="auto"/>
            </w:tcBorders>
            <w:shd w:val="clear" w:color="auto" w:fill="auto"/>
            <w:hideMark/>
          </w:tcPr>
          <w:p w14:paraId="10453C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F5C2E5"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4D3F08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C0662E" w14:textId="77777777" w:rsidR="0041317E" w:rsidRPr="0041317E" w:rsidRDefault="0041317E" w:rsidP="0041317E">
            <w:pPr>
              <w:spacing w:after="0" w:line="240" w:lineRule="auto"/>
              <w:ind w:firstLineChars="100" w:firstLine="240"/>
              <w:jc w:val="right"/>
              <w:rPr>
                <w:rFonts w:ascii="Calibri Light" w:eastAsia="Times New Roman" w:hAnsi="Calibri Light" w:cs="Calibri Light"/>
                <w:b/>
                <w:bCs/>
                <w:color w:val="0D0D0D"/>
                <w:kern w:val="0"/>
                <w:sz w:val="24"/>
                <w:szCs w:val="24"/>
                <w14:ligatures w14:val="none"/>
              </w:rPr>
            </w:pPr>
            <w:r w:rsidRPr="0041317E">
              <w:rPr>
                <w:rFonts w:ascii="Calibri Light" w:eastAsia="Times New Roman" w:hAnsi="Calibri Light" w:cs="Calibri Light"/>
                <w:b/>
                <w:bCs/>
                <w:color w:val="0D0D0D"/>
                <w:kern w:val="0"/>
                <w:sz w:val="24"/>
                <w:szCs w:val="24"/>
                <w14:ligatures w14:val="none"/>
              </w:rPr>
              <w:t xml:space="preserve">Regular Evaluation: </w:t>
            </w:r>
          </w:p>
        </w:tc>
        <w:tc>
          <w:tcPr>
            <w:tcW w:w="6762" w:type="dxa"/>
            <w:tcBorders>
              <w:top w:val="nil"/>
              <w:left w:val="nil"/>
              <w:bottom w:val="single" w:sz="4" w:space="0" w:color="auto"/>
              <w:right w:val="single" w:sz="4" w:space="0" w:color="auto"/>
            </w:tcBorders>
            <w:shd w:val="clear" w:color="auto" w:fill="auto"/>
            <w:hideMark/>
          </w:tcPr>
          <w:p w14:paraId="3D1CD07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Regularly evaluate the effectiveness of communication channels and feedback mechanisms to ensure they align with campaign goals and user preferences. Adjust strategies as needed to adapt to changing circumstances and optimize campaign performance.</w:t>
            </w:r>
          </w:p>
        </w:tc>
        <w:tc>
          <w:tcPr>
            <w:tcW w:w="2566" w:type="dxa"/>
            <w:tcBorders>
              <w:top w:val="nil"/>
              <w:left w:val="nil"/>
              <w:bottom w:val="single" w:sz="4" w:space="0" w:color="auto"/>
              <w:right w:val="single" w:sz="4" w:space="0" w:color="auto"/>
            </w:tcBorders>
            <w:shd w:val="clear" w:color="auto" w:fill="auto"/>
            <w:hideMark/>
          </w:tcPr>
          <w:p w14:paraId="1575882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1B97F9"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6742ACE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EFC80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Adaptation: </w:t>
            </w:r>
          </w:p>
        </w:tc>
        <w:tc>
          <w:tcPr>
            <w:tcW w:w="6762" w:type="dxa"/>
            <w:tcBorders>
              <w:top w:val="nil"/>
              <w:left w:val="nil"/>
              <w:bottom w:val="single" w:sz="4" w:space="0" w:color="auto"/>
              <w:right w:val="single" w:sz="4" w:space="0" w:color="auto"/>
            </w:tcBorders>
            <w:shd w:val="clear" w:color="auto" w:fill="auto"/>
            <w:hideMark/>
          </w:tcPr>
          <w:p w14:paraId="20D876AD" w14:textId="77777777" w:rsidR="0041317E" w:rsidRPr="0041317E" w:rsidRDefault="0041317E" w:rsidP="0041317E">
            <w:pPr>
              <w:spacing w:after="0" w:line="240" w:lineRule="auto"/>
              <w:rPr>
                <w:rFonts w:ascii="Calibri Light" w:eastAsia="Times New Roman" w:hAnsi="Calibri Light" w:cs="Calibri Light"/>
                <w:color w:val="0D0D0D"/>
                <w:kern w:val="0"/>
                <w:sz w:val="24"/>
                <w:szCs w:val="24"/>
                <w14:ligatures w14:val="none"/>
              </w:rPr>
            </w:pPr>
            <w:r w:rsidRPr="0041317E">
              <w:rPr>
                <w:rFonts w:ascii="Calibri Light" w:eastAsia="Times New Roman" w:hAnsi="Calibri Light" w:cs="Calibri Light"/>
                <w:color w:val="0D0D0D"/>
                <w:kern w:val="0"/>
                <w:sz w:val="24"/>
                <w:szCs w:val="24"/>
                <w14:ligatures w14:val="none"/>
              </w:rPr>
              <w:t>By continuously adapting and optimizing communication strategies based on user preferences and feedback, the campaign can maximize reach, engagement, and conversion rates throughout the campaign, ultimately leading to greater success in attracting and retaining backers.</w:t>
            </w:r>
          </w:p>
        </w:tc>
        <w:tc>
          <w:tcPr>
            <w:tcW w:w="2566" w:type="dxa"/>
            <w:tcBorders>
              <w:top w:val="nil"/>
              <w:left w:val="nil"/>
              <w:bottom w:val="single" w:sz="4" w:space="0" w:color="auto"/>
              <w:right w:val="single" w:sz="4" w:space="0" w:color="auto"/>
            </w:tcBorders>
            <w:shd w:val="clear" w:color="auto" w:fill="auto"/>
            <w:hideMark/>
          </w:tcPr>
          <w:p w14:paraId="2B4D9A0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24954A"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CA20E9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016764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Conclusion: </w:t>
            </w:r>
          </w:p>
        </w:tc>
        <w:tc>
          <w:tcPr>
            <w:tcW w:w="6762" w:type="dxa"/>
            <w:tcBorders>
              <w:top w:val="nil"/>
              <w:left w:val="nil"/>
              <w:bottom w:val="single" w:sz="4" w:space="0" w:color="auto"/>
              <w:right w:val="single" w:sz="4" w:space="0" w:color="auto"/>
            </w:tcBorders>
            <w:shd w:val="clear" w:color="auto" w:fill="auto"/>
            <w:hideMark/>
          </w:tcPr>
          <w:p w14:paraId="78C31BF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By implementing a comprehensive communication strategy that encompasses social media outreach, email newsletters, press releases, and project updates, you can effectively engage with potential backers and stakeholders, build momentum for your campaign, and ultimately achieve your funding goals for the scientific project on counting primes.</w:t>
            </w:r>
          </w:p>
        </w:tc>
        <w:tc>
          <w:tcPr>
            <w:tcW w:w="2566" w:type="dxa"/>
            <w:tcBorders>
              <w:top w:val="nil"/>
              <w:left w:val="nil"/>
              <w:bottom w:val="single" w:sz="4" w:space="0" w:color="auto"/>
              <w:right w:val="single" w:sz="4" w:space="0" w:color="auto"/>
            </w:tcBorders>
            <w:shd w:val="clear" w:color="auto" w:fill="auto"/>
            <w:hideMark/>
          </w:tcPr>
          <w:p w14:paraId="70158F3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3EE3C2"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447FFD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8. Budget and Funding Allocation: </w:t>
            </w:r>
          </w:p>
        </w:tc>
        <w:tc>
          <w:tcPr>
            <w:tcW w:w="2363" w:type="dxa"/>
            <w:tcBorders>
              <w:top w:val="nil"/>
              <w:left w:val="nil"/>
              <w:bottom w:val="single" w:sz="4" w:space="0" w:color="auto"/>
              <w:right w:val="single" w:sz="4" w:space="0" w:color="auto"/>
            </w:tcBorders>
            <w:shd w:val="clear" w:color="auto" w:fill="auto"/>
            <w:hideMark/>
          </w:tcPr>
          <w:p w14:paraId="7D1B5B9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D94E24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Provide a breakdown of the project budget, including research expenses, equipment costs, personnel salaries, and any other relevant expenditures. Also, specify how the funds raised will be allocated to support the project's objectives.</w:t>
            </w:r>
          </w:p>
        </w:tc>
        <w:tc>
          <w:tcPr>
            <w:tcW w:w="2566" w:type="dxa"/>
            <w:tcBorders>
              <w:top w:val="nil"/>
              <w:left w:val="nil"/>
              <w:bottom w:val="single" w:sz="4" w:space="0" w:color="auto"/>
              <w:right w:val="single" w:sz="4" w:space="0" w:color="auto"/>
            </w:tcBorders>
            <w:shd w:val="clear" w:color="auto" w:fill="auto"/>
            <w:hideMark/>
          </w:tcPr>
          <w:p w14:paraId="73BAA45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BFC20F3" w14:textId="77777777" w:rsidTr="0041317E">
        <w:trPr>
          <w:trHeight w:val="1728"/>
        </w:trPr>
        <w:tc>
          <w:tcPr>
            <w:tcW w:w="1349" w:type="dxa"/>
            <w:tcBorders>
              <w:top w:val="nil"/>
              <w:left w:val="single" w:sz="4" w:space="0" w:color="auto"/>
              <w:bottom w:val="single" w:sz="4" w:space="0" w:color="auto"/>
              <w:right w:val="single" w:sz="4" w:space="0" w:color="auto"/>
            </w:tcBorders>
            <w:shd w:val="clear" w:color="auto" w:fill="auto"/>
            <w:hideMark/>
          </w:tcPr>
          <w:p w14:paraId="39B480F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C538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Research Expenses:</w:t>
            </w:r>
          </w:p>
        </w:tc>
        <w:tc>
          <w:tcPr>
            <w:tcW w:w="6762" w:type="dxa"/>
            <w:tcBorders>
              <w:top w:val="nil"/>
              <w:left w:val="nil"/>
              <w:bottom w:val="single" w:sz="4" w:space="0" w:color="auto"/>
              <w:right w:val="single" w:sz="4" w:space="0" w:color="auto"/>
            </w:tcBorders>
            <w:shd w:val="clear" w:color="auto" w:fill="auto"/>
            <w:hideMark/>
          </w:tcPr>
          <w:p w14:paraId="1524212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Research materials and supplies (e.g., textbooks, reference materials, software licenses): $X</w:t>
            </w:r>
          </w:p>
        </w:tc>
        <w:tc>
          <w:tcPr>
            <w:tcW w:w="2566" w:type="dxa"/>
            <w:tcBorders>
              <w:top w:val="nil"/>
              <w:left w:val="nil"/>
              <w:bottom w:val="single" w:sz="4" w:space="0" w:color="auto"/>
              <w:right w:val="single" w:sz="4" w:space="0" w:color="auto"/>
            </w:tcBorders>
            <w:shd w:val="clear" w:color="auto" w:fill="auto"/>
            <w:hideMark/>
          </w:tcPr>
          <w:p w14:paraId="2619847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what hardware and what listing or wishlist can we make and display to help to advance primebookone as it is now just a single computer  program.</w:t>
            </w:r>
          </w:p>
        </w:tc>
      </w:tr>
      <w:tr w:rsidR="0041317E" w:rsidRPr="0041317E" w14:paraId="3866379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288E1F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50C8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21CF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260A4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5277D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46E78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0F347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B5C49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E70AAB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8AC5B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DCB430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D71C9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6FA2E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1C9ECB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053E39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8CF5E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65947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20E32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AB798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E90184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D4FA5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85355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85C37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CEDA0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CC558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8FF9FA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19B9C8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D009D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D160B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64CDB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6F9108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FBDCA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4C520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F29C5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80377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6348EC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955D24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70451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A1804E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9BDEB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FDD3A4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12AD4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88D9E8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C07B44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3E69EA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CBBBA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8F12D5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764FB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1EE2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1D0D0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1606B0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F755B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9F593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2D8A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C275A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88A32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8BC068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53984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20696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4E07D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C2941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5B8C7B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CD34A7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0DCA90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86046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88F1B0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50C61D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712327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0271CB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88A67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B64C94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8A700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DF9729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5AE23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23FD23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9677F7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910C3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8D43E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3731D8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01BB8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570D84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261A8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1D359E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2C854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80693D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83EF8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C87E9F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26F10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1FAA7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98F28B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F626EA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E3CDF4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4F81D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535BC8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248A5B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419D6D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54A2B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F33CC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1700A5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1FE7E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809FA4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1D25FD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EB4695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A3B0A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74ED0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110DB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C04DF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27B6EC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45643D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E78DC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B5737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81C75B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6DD28F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D78DDF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357FBE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E37686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EAD387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65B3F0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58D288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2DC73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168F19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208172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6DE87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27C3C9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C3869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E3FAE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C17F22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DB0711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4F06E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B1698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60F1EC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1D977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4930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9E726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8BEA0E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829C8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FE487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72E04B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B78EA3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7454CE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43015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C0A5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09EAA4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1F7B77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F3E9BD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8A343F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A73D1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843476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166C1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EF483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FEDFC0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EB29E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3B28E8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413B40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C9040C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0B32D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4D6B36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BACAE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AAEBCD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B8C3D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510F71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E50CE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C2D771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3EF1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372F6B0"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F3DE86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50A3E7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0C37A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0BFA6E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08C2B8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C6E80B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64C26C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2793CC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01E2C0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6386DC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6E1D2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7603A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1C3674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05EF70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9457C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DD89D7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A1E02B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C5A5B7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17437F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10DD3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FF90F1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0C5BBD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CC47ED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9423C5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27427F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B02A4F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F7FCE2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5159FF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9A5A33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5B8C4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D2DE92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5730E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CFBC15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134317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FB588C5"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5219A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2BFDC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3B3E89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7EF3A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E7638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24CB72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41AEE8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83D234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C7E64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62BFF2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2E2399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C81FE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7C0C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CFD22C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5D8DADE"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0E8C43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CBBBF7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9AD9B2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427619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3F5B3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B5142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7B94B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06560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D1F20F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5E8FEE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F9B70D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45184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AC09D9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A6AFF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A5D87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6882C5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11A4E4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9394AF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5FDAB6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593DDD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86F7BE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7F1C2E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0CF24B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5C019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C28340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4B28E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108CF0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9F9F5F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55EAD3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23C8E7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D60E5F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62B3A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A94059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BA70A2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37457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833774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974A4A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ADD992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24911A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002977"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B71454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37C1E4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BA2169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44A147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AFCA1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643AD6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5FDC8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9AE80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EC5147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4D4532"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7E9A38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340E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163F2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9825D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D9FCD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46452B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7C7637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73EE23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278E44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DC9A25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FC497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0502D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4AD53C"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4E3448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69A58B9"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B65207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9B7F0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564E47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A9CA60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EF20D3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A4A868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18A4C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476C3D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B4486B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9282D2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6F23A9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BFA35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3EA996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0ABE0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DA8A1D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559876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ABC6B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6F34DF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F02133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19AA13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95676A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119BB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8F68D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BB4C94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06C7EC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4271DC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BAD7B7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9662B7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Data collection and analysis costs (e.g., access to databases, data processing tools): $X</w:t>
            </w:r>
          </w:p>
        </w:tc>
        <w:tc>
          <w:tcPr>
            <w:tcW w:w="2566" w:type="dxa"/>
            <w:tcBorders>
              <w:top w:val="nil"/>
              <w:left w:val="nil"/>
              <w:bottom w:val="single" w:sz="4" w:space="0" w:color="auto"/>
              <w:right w:val="single" w:sz="4" w:space="0" w:color="auto"/>
            </w:tcBorders>
            <w:shd w:val="clear" w:color="auto" w:fill="auto"/>
            <w:hideMark/>
          </w:tcPr>
          <w:p w14:paraId="3F9F618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087FF0"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D49A91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DE87B5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ACFD9D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Travel expenses for attending conferences, workshops, or research collaborations: $X</w:t>
            </w:r>
          </w:p>
        </w:tc>
        <w:tc>
          <w:tcPr>
            <w:tcW w:w="2566" w:type="dxa"/>
            <w:tcBorders>
              <w:top w:val="nil"/>
              <w:left w:val="nil"/>
              <w:bottom w:val="single" w:sz="4" w:space="0" w:color="auto"/>
              <w:right w:val="single" w:sz="4" w:space="0" w:color="auto"/>
            </w:tcBorders>
            <w:shd w:val="clear" w:color="auto" w:fill="auto"/>
            <w:hideMark/>
          </w:tcPr>
          <w:p w14:paraId="42E42FB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29820C"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2C20F3F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3BA25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5CFE77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3F0278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7CAD7C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66EC09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1DECCC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Equipment Costs:</w:t>
            </w:r>
          </w:p>
        </w:tc>
        <w:tc>
          <w:tcPr>
            <w:tcW w:w="6762" w:type="dxa"/>
            <w:tcBorders>
              <w:top w:val="nil"/>
              <w:left w:val="nil"/>
              <w:bottom w:val="single" w:sz="4" w:space="0" w:color="auto"/>
              <w:right w:val="single" w:sz="4" w:space="0" w:color="auto"/>
            </w:tcBorders>
            <w:shd w:val="clear" w:color="auto" w:fill="auto"/>
            <w:hideMark/>
          </w:tcPr>
          <w:p w14:paraId="7B62AE0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Acquisition or maintenance of specialized equipment (e.g., computers, servers, software tools): $X</w:t>
            </w:r>
          </w:p>
        </w:tc>
        <w:tc>
          <w:tcPr>
            <w:tcW w:w="2566" w:type="dxa"/>
            <w:tcBorders>
              <w:top w:val="nil"/>
              <w:left w:val="nil"/>
              <w:bottom w:val="single" w:sz="4" w:space="0" w:color="auto"/>
              <w:right w:val="single" w:sz="4" w:space="0" w:color="auto"/>
            </w:tcBorders>
            <w:shd w:val="clear" w:color="auto" w:fill="auto"/>
            <w:hideMark/>
          </w:tcPr>
          <w:p w14:paraId="13BC3F0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D90F4A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BC46D7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9A76FD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779E18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Purchase of laboratory or field equipment (if applicable): $X</w:t>
            </w:r>
          </w:p>
        </w:tc>
        <w:tc>
          <w:tcPr>
            <w:tcW w:w="2566" w:type="dxa"/>
            <w:tcBorders>
              <w:top w:val="nil"/>
              <w:left w:val="nil"/>
              <w:bottom w:val="single" w:sz="4" w:space="0" w:color="auto"/>
              <w:right w:val="single" w:sz="4" w:space="0" w:color="auto"/>
            </w:tcBorders>
            <w:shd w:val="clear" w:color="auto" w:fill="auto"/>
            <w:hideMark/>
          </w:tcPr>
          <w:p w14:paraId="49CD8C6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99626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D06C0A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1A793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DA876F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Equipment rental or leasing fees (if applicable): $X</w:t>
            </w:r>
          </w:p>
        </w:tc>
        <w:tc>
          <w:tcPr>
            <w:tcW w:w="2566" w:type="dxa"/>
            <w:tcBorders>
              <w:top w:val="nil"/>
              <w:left w:val="nil"/>
              <w:bottom w:val="single" w:sz="4" w:space="0" w:color="auto"/>
              <w:right w:val="single" w:sz="4" w:space="0" w:color="auto"/>
            </w:tcBorders>
            <w:shd w:val="clear" w:color="auto" w:fill="auto"/>
            <w:hideMark/>
          </w:tcPr>
          <w:p w14:paraId="12E8A89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BD0ED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161F6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62DB22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2186D8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E2F2C2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1C43E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9EFE7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8116A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Personnel Salaries:</w:t>
            </w:r>
          </w:p>
        </w:tc>
        <w:tc>
          <w:tcPr>
            <w:tcW w:w="6762" w:type="dxa"/>
            <w:tcBorders>
              <w:top w:val="nil"/>
              <w:left w:val="nil"/>
              <w:bottom w:val="single" w:sz="4" w:space="0" w:color="auto"/>
              <w:right w:val="single" w:sz="4" w:space="0" w:color="auto"/>
            </w:tcBorders>
            <w:shd w:val="clear" w:color="auto" w:fill="auto"/>
            <w:hideMark/>
          </w:tcPr>
          <w:p w14:paraId="3A4FD9F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Principal Investigator (PI) or Project Leader: $X per month</w:t>
            </w:r>
          </w:p>
        </w:tc>
        <w:tc>
          <w:tcPr>
            <w:tcW w:w="2566" w:type="dxa"/>
            <w:tcBorders>
              <w:top w:val="nil"/>
              <w:left w:val="nil"/>
              <w:bottom w:val="single" w:sz="4" w:space="0" w:color="auto"/>
              <w:right w:val="single" w:sz="4" w:space="0" w:color="auto"/>
            </w:tcBorders>
            <w:shd w:val="clear" w:color="auto" w:fill="auto"/>
            <w:hideMark/>
          </w:tcPr>
          <w:p w14:paraId="2469C0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8A6362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F64F68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F51EF6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5595CB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Research Assistants or Postdoctoral Fellows: $X per month per staff member</w:t>
            </w:r>
          </w:p>
        </w:tc>
        <w:tc>
          <w:tcPr>
            <w:tcW w:w="2566" w:type="dxa"/>
            <w:tcBorders>
              <w:top w:val="nil"/>
              <w:left w:val="nil"/>
              <w:bottom w:val="single" w:sz="4" w:space="0" w:color="auto"/>
              <w:right w:val="single" w:sz="4" w:space="0" w:color="auto"/>
            </w:tcBorders>
            <w:shd w:val="clear" w:color="auto" w:fill="auto"/>
            <w:hideMark/>
          </w:tcPr>
          <w:p w14:paraId="7047AC3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22B2CBE"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B7892B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BA07B4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6A6FB2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Graduate or undergraduate student stipends (if applicable): $X per month per student</w:t>
            </w:r>
          </w:p>
        </w:tc>
        <w:tc>
          <w:tcPr>
            <w:tcW w:w="2566" w:type="dxa"/>
            <w:tcBorders>
              <w:top w:val="nil"/>
              <w:left w:val="nil"/>
              <w:bottom w:val="single" w:sz="4" w:space="0" w:color="auto"/>
              <w:right w:val="single" w:sz="4" w:space="0" w:color="auto"/>
            </w:tcBorders>
            <w:shd w:val="clear" w:color="auto" w:fill="auto"/>
            <w:hideMark/>
          </w:tcPr>
          <w:p w14:paraId="6EFD301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31084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4D6019A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C561C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1450A0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 Administrative support staff salaries (if applicable): $X per month</w:t>
            </w:r>
          </w:p>
        </w:tc>
        <w:tc>
          <w:tcPr>
            <w:tcW w:w="2566" w:type="dxa"/>
            <w:tcBorders>
              <w:top w:val="nil"/>
              <w:left w:val="nil"/>
              <w:bottom w:val="single" w:sz="4" w:space="0" w:color="auto"/>
              <w:right w:val="single" w:sz="4" w:space="0" w:color="auto"/>
            </w:tcBorders>
            <w:shd w:val="clear" w:color="auto" w:fill="auto"/>
            <w:hideMark/>
          </w:tcPr>
          <w:p w14:paraId="509E76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DFAF61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618C1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C511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92C757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9A4451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D65509"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FBFCAC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BD37994"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Contract Services:</w:t>
            </w:r>
          </w:p>
        </w:tc>
        <w:tc>
          <w:tcPr>
            <w:tcW w:w="6762" w:type="dxa"/>
            <w:tcBorders>
              <w:top w:val="nil"/>
              <w:left w:val="nil"/>
              <w:bottom w:val="single" w:sz="4" w:space="0" w:color="auto"/>
              <w:right w:val="single" w:sz="4" w:space="0" w:color="auto"/>
            </w:tcBorders>
            <w:shd w:val="clear" w:color="auto" w:fill="auto"/>
            <w:hideMark/>
          </w:tcPr>
          <w:p w14:paraId="2AEC069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Consulting fees for external experts or collaborators: $X</w:t>
            </w:r>
          </w:p>
        </w:tc>
        <w:tc>
          <w:tcPr>
            <w:tcW w:w="2566" w:type="dxa"/>
            <w:tcBorders>
              <w:top w:val="nil"/>
              <w:left w:val="nil"/>
              <w:bottom w:val="single" w:sz="4" w:space="0" w:color="auto"/>
              <w:right w:val="single" w:sz="4" w:space="0" w:color="auto"/>
            </w:tcBorders>
            <w:shd w:val="clear" w:color="auto" w:fill="auto"/>
            <w:hideMark/>
          </w:tcPr>
          <w:p w14:paraId="3BC4E6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1E771C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888ED9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80FCA5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0D1671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Outsourced services such as data analysis, software development, or statistical modeling: $X</w:t>
            </w:r>
          </w:p>
        </w:tc>
        <w:tc>
          <w:tcPr>
            <w:tcW w:w="2566" w:type="dxa"/>
            <w:tcBorders>
              <w:top w:val="nil"/>
              <w:left w:val="nil"/>
              <w:bottom w:val="single" w:sz="4" w:space="0" w:color="auto"/>
              <w:right w:val="single" w:sz="4" w:space="0" w:color="auto"/>
            </w:tcBorders>
            <w:shd w:val="clear" w:color="auto" w:fill="auto"/>
            <w:hideMark/>
          </w:tcPr>
          <w:p w14:paraId="4C6B780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6F5FA24"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70436E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BB3FC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58B1C9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 Legal or accounting fees for regulatory compliance or intellectual property protection: $X</w:t>
            </w:r>
          </w:p>
        </w:tc>
        <w:tc>
          <w:tcPr>
            <w:tcW w:w="2566" w:type="dxa"/>
            <w:tcBorders>
              <w:top w:val="nil"/>
              <w:left w:val="nil"/>
              <w:bottom w:val="single" w:sz="4" w:space="0" w:color="auto"/>
              <w:right w:val="single" w:sz="4" w:space="0" w:color="auto"/>
            </w:tcBorders>
            <w:shd w:val="clear" w:color="auto" w:fill="auto"/>
            <w:hideMark/>
          </w:tcPr>
          <w:p w14:paraId="64D4E8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14B80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58A16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D7E301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08DED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859C6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5E3087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0E43B1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BC69D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Overhead and Administrative Costs:</w:t>
            </w:r>
          </w:p>
        </w:tc>
        <w:tc>
          <w:tcPr>
            <w:tcW w:w="6762" w:type="dxa"/>
            <w:tcBorders>
              <w:top w:val="nil"/>
              <w:left w:val="nil"/>
              <w:bottom w:val="single" w:sz="4" w:space="0" w:color="auto"/>
              <w:right w:val="single" w:sz="4" w:space="0" w:color="auto"/>
            </w:tcBorders>
            <w:shd w:val="clear" w:color="auto" w:fill="auto"/>
            <w:hideMark/>
          </w:tcPr>
          <w:p w14:paraId="2D35B16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Institutional overhead charges or indirect costs: X% of total project budget</w:t>
            </w:r>
          </w:p>
        </w:tc>
        <w:tc>
          <w:tcPr>
            <w:tcW w:w="2566" w:type="dxa"/>
            <w:tcBorders>
              <w:top w:val="nil"/>
              <w:left w:val="nil"/>
              <w:bottom w:val="single" w:sz="4" w:space="0" w:color="auto"/>
              <w:right w:val="single" w:sz="4" w:space="0" w:color="auto"/>
            </w:tcBorders>
            <w:shd w:val="clear" w:color="auto" w:fill="auto"/>
            <w:hideMark/>
          </w:tcPr>
          <w:p w14:paraId="7FE2ABB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FB6F13D"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61C792E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05C203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94D4F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 Administrative expenses such as office supplies, communication tools, and utilities: $X</w:t>
            </w:r>
          </w:p>
        </w:tc>
        <w:tc>
          <w:tcPr>
            <w:tcW w:w="2566" w:type="dxa"/>
            <w:tcBorders>
              <w:top w:val="nil"/>
              <w:left w:val="nil"/>
              <w:bottom w:val="single" w:sz="4" w:space="0" w:color="auto"/>
              <w:right w:val="single" w:sz="4" w:space="0" w:color="auto"/>
            </w:tcBorders>
            <w:shd w:val="clear" w:color="auto" w:fill="auto"/>
            <w:hideMark/>
          </w:tcPr>
          <w:p w14:paraId="15F47E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0395D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8519D8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E1450B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C69DAD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3FE54A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B177C1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798320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4C4C13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6. Contingency Fund:</w:t>
            </w:r>
          </w:p>
        </w:tc>
        <w:tc>
          <w:tcPr>
            <w:tcW w:w="6762" w:type="dxa"/>
            <w:tcBorders>
              <w:top w:val="nil"/>
              <w:left w:val="nil"/>
              <w:bottom w:val="single" w:sz="4" w:space="0" w:color="auto"/>
              <w:right w:val="single" w:sz="4" w:space="0" w:color="auto"/>
            </w:tcBorders>
            <w:shd w:val="clear" w:color="auto" w:fill="auto"/>
            <w:hideMark/>
          </w:tcPr>
          <w:p w14:paraId="7B35201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 Reserve fund to cover unexpected expenses, project delays, or scope changes: X% of total project budget</w:t>
            </w:r>
          </w:p>
        </w:tc>
        <w:tc>
          <w:tcPr>
            <w:tcW w:w="2566" w:type="dxa"/>
            <w:tcBorders>
              <w:top w:val="nil"/>
              <w:left w:val="nil"/>
              <w:bottom w:val="single" w:sz="4" w:space="0" w:color="auto"/>
              <w:right w:val="single" w:sz="4" w:space="0" w:color="auto"/>
            </w:tcBorders>
            <w:shd w:val="clear" w:color="auto" w:fill="auto"/>
            <w:hideMark/>
          </w:tcPr>
          <w:p w14:paraId="401BF1C9"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C0A77D6"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1F016B6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4824CD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5C9FE8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136BD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32237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38A446A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373C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7. Total Project Budget: </w:t>
            </w:r>
          </w:p>
        </w:tc>
        <w:tc>
          <w:tcPr>
            <w:tcW w:w="6762" w:type="dxa"/>
            <w:tcBorders>
              <w:top w:val="nil"/>
              <w:left w:val="nil"/>
              <w:bottom w:val="single" w:sz="4" w:space="0" w:color="auto"/>
              <w:right w:val="single" w:sz="4" w:space="0" w:color="auto"/>
            </w:tcBorders>
            <w:shd w:val="clear" w:color="auto" w:fill="auto"/>
            <w:hideMark/>
          </w:tcPr>
          <w:p w14:paraId="0F19C1F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Sum of all budget categories above.</w:t>
            </w:r>
          </w:p>
        </w:tc>
        <w:tc>
          <w:tcPr>
            <w:tcW w:w="2566" w:type="dxa"/>
            <w:tcBorders>
              <w:top w:val="nil"/>
              <w:left w:val="nil"/>
              <w:bottom w:val="single" w:sz="4" w:space="0" w:color="auto"/>
              <w:right w:val="single" w:sz="4" w:space="0" w:color="auto"/>
            </w:tcBorders>
            <w:shd w:val="clear" w:color="auto" w:fill="auto"/>
            <w:hideMark/>
          </w:tcPr>
          <w:p w14:paraId="6A31E52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B8387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987CC4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9B461C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48192E0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9075E4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58ADC6"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085BC87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426216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Funding Allocation:</w:t>
            </w:r>
          </w:p>
        </w:tc>
        <w:tc>
          <w:tcPr>
            <w:tcW w:w="6762" w:type="dxa"/>
            <w:tcBorders>
              <w:top w:val="nil"/>
              <w:left w:val="nil"/>
              <w:bottom w:val="single" w:sz="4" w:space="0" w:color="auto"/>
              <w:right w:val="single" w:sz="4" w:space="0" w:color="auto"/>
            </w:tcBorders>
            <w:shd w:val="clear" w:color="auto" w:fill="auto"/>
            <w:hideMark/>
          </w:tcPr>
          <w:p w14:paraId="05DCFBD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Once funds are raised through the crowd funding campaign, they will be allocated as follows:</w:t>
            </w:r>
          </w:p>
        </w:tc>
        <w:tc>
          <w:tcPr>
            <w:tcW w:w="2566" w:type="dxa"/>
            <w:tcBorders>
              <w:top w:val="nil"/>
              <w:left w:val="nil"/>
              <w:bottom w:val="single" w:sz="4" w:space="0" w:color="auto"/>
              <w:right w:val="single" w:sz="4" w:space="0" w:color="auto"/>
            </w:tcBorders>
            <w:shd w:val="clear" w:color="auto" w:fill="auto"/>
            <w:hideMark/>
          </w:tcPr>
          <w:p w14:paraId="09B50A4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B2348C5"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420F46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04A7A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Research Expenses:</w:t>
            </w:r>
          </w:p>
        </w:tc>
        <w:tc>
          <w:tcPr>
            <w:tcW w:w="6762" w:type="dxa"/>
            <w:tcBorders>
              <w:top w:val="nil"/>
              <w:left w:val="nil"/>
              <w:bottom w:val="single" w:sz="4" w:space="0" w:color="auto"/>
              <w:right w:val="single" w:sz="4" w:space="0" w:color="auto"/>
            </w:tcBorders>
            <w:shd w:val="clear" w:color="auto" w:fill="auto"/>
            <w:hideMark/>
          </w:tcPr>
          <w:p w14:paraId="50A0C5E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Allocate sufficient funds to cover research materials, supplies, and data collection costs necessary to conduct the proposed research activities.</w:t>
            </w:r>
          </w:p>
        </w:tc>
        <w:tc>
          <w:tcPr>
            <w:tcW w:w="2566" w:type="dxa"/>
            <w:tcBorders>
              <w:top w:val="nil"/>
              <w:left w:val="nil"/>
              <w:bottom w:val="single" w:sz="4" w:space="0" w:color="auto"/>
              <w:right w:val="single" w:sz="4" w:space="0" w:color="auto"/>
            </w:tcBorders>
            <w:shd w:val="clear" w:color="auto" w:fill="auto"/>
            <w:hideMark/>
          </w:tcPr>
          <w:p w14:paraId="42D407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68C3F3"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3AB93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836DE4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Equipment Costs:</w:t>
            </w:r>
          </w:p>
        </w:tc>
        <w:tc>
          <w:tcPr>
            <w:tcW w:w="6762" w:type="dxa"/>
            <w:tcBorders>
              <w:top w:val="nil"/>
              <w:left w:val="nil"/>
              <w:bottom w:val="single" w:sz="4" w:space="0" w:color="auto"/>
              <w:right w:val="single" w:sz="4" w:space="0" w:color="auto"/>
            </w:tcBorders>
            <w:shd w:val="clear" w:color="auto" w:fill="auto"/>
            <w:hideMark/>
          </w:tcPr>
          <w:p w14:paraId="0BFA2CA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Allocate funds to acquire or maintain essential equipment required for data analysis, computation, or experimental work.</w:t>
            </w:r>
          </w:p>
        </w:tc>
        <w:tc>
          <w:tcPr>
            <w:tcW w:w="2566" w:type="dxa"/>
            <w:tcBorders>
              <w:top w:val="nil"/>
              <w:left w:val="nil"/>
              <w:bottom w:val="single" w:sz="4" w:space="0" w:color="auto"/>
              <w:right w:val="single" w:sz="4" w:space="0" w:color="auto"/>
            </w:tcBorders>
            <w:shd w:val="clear" w:color="auto" w:fill="auto"/>
            <w:hideMark/>
          </w:tcPr>
          <w:p w14:paraId="178EC00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AF50DB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032161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C86883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Personnel Salaries:</w:t>
            </w:r>
          </w:p>
        </w:tc>
        <w:tc>
          <w:tcPr>
            <w:tcW w:w="6762" w:type="dxa"/>
            <w:tcBorders>
              <w:top w:val="nil"/>
              <w:left w:val="nil"/>
              <w:bottom w:val="single" w:sz="4" w:space="0" w:color="auto"/>
              <w:right w:val="single" w:sz="4" w:space="0" w:color="auto"/>
            </w:tcBorders>
            <w:shd w:val="clear" w:color="auto" w:fill="auto"/>
            <w:hideMark/>
          </w:tcPr>
          <w:p w14:paraId="702546C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Allocate funds to support salaries for project personnel, including the principal investigator, research assistants, and administrative staff, in accordance with their roles and responsibilities.</w:t>
            </w:r>
          </w:p>
        </w:tc>
        <w:tc>
          <w:tcPr>
            <w:tcW w:w="2566" w:type="dxa"/>
            <w:tcBorders>
              <w:top w:val="nil"/>
              <w:left w:val="nil"/>
              <w:bottom w:val="single" w:sz="4" w:space="0" w:color="auto"/>
              <w:right w:val="single" w:sz="4" w:space="0" w:color="auto"/>
            </w:tcBorders>
            <w:shd w:val="clear" w:color="auto" w:fill="auto"/>
            <w:hideMark/>
          </w:tcPr>
          <w:p w14:paraId="611843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E93F08"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61BDFE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66A54A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Contract Services:</w:t>
            </w:r>
          </w:p>
        </w:tc>
        <w:tc>
          <w:tcPr>
            <w:tcW w:w="6762" w:type="dxa"/>
            <w:tcBorders>
              <w:top w:val="nil"/>
              <w:left w:val="nil"/>
              <w:bottom w:val="single" w:sz="4" w:space="0" w:color="auto"/>
              <w:right w:val="single" w:sz="4" w:space="0" w:color="auto"/>
            </w:tcBorders>
            <w:shd w:val="clear" w:color="auto" w:fill="auto"/>
            <w:hideMark/>
          </w:tcPr>
          <w:p w14:paraId="083E3E1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Allocate funds to cover expenses related to outsourcing specialized services or consulting expertise needed for the project.</w:t>
            </w:r>
          </w:p>
        </w:tc>
        <w:tc>
          <w:tcPr>
            <w:tcW w:w="2566" w:type="dxa"/>
            <w:tcBorders>
              <w:top w:val="nil"/>
              <w:left w:val="nil"/>
              <w:bottom w:val="single" w:sz="4" w:space="0" w:color="auto"/>
              <w:right w:val="single" w:sz="4" w:space="0" w:color="auto"/>
            </w:tcBorders>
            <w:shd w:val="clear" w:color="auto" w:fill="auto"/>
            <w:hideMark/>
          </w:tcPr>
          <w:p w14:paraId="56E0033E"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F554B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1240A2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EA5169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Overhead and Administrative Costs:</w:t>
            </w:r>
          </w:p>
        </w:tc>
        <w:tc>
          <w:tcPr>
            <w:tcW w:w="6762" w:type="dxa"/>
            <w:tcBorders>
              <w:top w:val="nil"/>
              <w:left w:val="nil"/>
              <w:bottom w:val="single" w:sz="4" w:space="0" w:color="auto"/>
              <w:right w:val="single" w:sz="4" w:space="0" w:color="auto"/>
            </w:tcBorders>
            <w:shd w:val="clear" w:color="auto" w:fill="auto"/>
            <w:hideMark/>
          </w:tcPr>
          <w:p w14:paraId="0E61463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Allocate funds to cover institutional overhead charges, administrative expenses, and other indirect costs associated with project management and oversight.</w:t>
            </w:r>
          </w:p>
        </w:tc>
        <w:tc>
          <w:tcPr>
            <w:tcW w:w="2566" w:type="dxa"/>
            <w:tcBorders>
              <w:top w:val="nil"/>
              <w:left w:val="nil"/>
              <w:bottom w:val="single" w:sz="4" w:space="0" w:color="auto"/>
              <w:right w:val="single" w:sz="4" w:space="0" w:color="auto"/>
            </w:tcBorders>
            <w:shd w:val="clear" w:color="auto" w:fill="auto"/>
            <w:hideMark/>
          </w:tcPr>
          <w:p w14:paraId="44CFD39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5B2A48"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5C003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4A1B3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6. Contingency Fund:</w:t>
            </w:r>
          </w:p>
        </w:tc>
        <w:tc>
          <w:tcPr>
            <w:tcW w:w="6762" w:type="dxa"/>
            <w:tcBorders>
              <w:top w:val="nil"/>
              <w:left w:val="nil"/>
              <w:bottom w:val="single" w:sz="4" w:space="0" w:color="auto"/>
              <w:right w:val="single" w:sz="4" w:space="0" w:color="auto"/>
            </w:tcBorders>
            <w:shd w:val="clear" w:color="auto" w:fill="auto"/>
            <w:hideMark/>
          </w:tcPr>
          <w:p w14:paraId="00042E0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Allocate a portion of the funds raised to establish a contingency fund to mitigate risks and address unforeseen challenges or expenses that may arise during the course of the project.</w:t>
            </w:r>
          </w:p>
        </w:tc>
        <w:tc>
          <w:tcPr>
            <w:tcW w:w="2566" w:type="dxa"/>
            <w:tcBorders>
              <w:top w:val="nil"/>
              <w:left w:val="nil"/>
              <w:bottom w:val="single" w:sz="4" w:space="0" w:color="auto"/>
              <w:right w:val="single" w:sz="4" w:space="0" w:color="auto"/>
            </w:tcBorders>
            <w:shd w:val="clear" w:color="auto" w:fill="auto"/>
            <w:hideMark/>
          </w:tcPr>
          <w:p w14:paraId="3B66C3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350CB20"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7472010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49EEA9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8. Conclusion: </w:t>
            </w:r>
          </w:p>
        </w:tc>
        <w:tc>
          <w:tcPr>
            <w:tcW w:w="6762" w:type="dxa"/>
            <w:tcBorders>
              <w:top w:val="nil"/>
              <w:left w:val="nil"/>
              <w:bottom w:val="single" w:sz="4" w:space="0" w:color="auto"/>
              <w:right w:val="single" w:sz="4" w:space="0" w:color="auto"/>
            </w:tcBorders>
            <w:shd w:val="clear" w:color="auto" w:fill="auto"/>
            <w:hideMark/>
          </w:tcPr>
          <w:p w14:paraId="6F9BB7B1"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By providing a detailed breakdown of the project budget and specifying how funds raised through the crowd funding campaign will be allocated to support the project's objectives, potential backers can gain confidence in the project's financial planning and stewardship of resources.</w:t>
            </w:r>
          </w:p>
        </w:tc>
        <w:tc>
          <w:tcPr>
            <w:tcW w:w="2566" w:type="dxa"/>
            <w:tcBorders>
              <w:top w:val="nil"/>
              <w:left w:val="nil"/>
              <w:bottom w:val="single" w:sz="4" w:space="0" w:color="auto"/>
              <w:right w:val="single" w:sz="4" w:space="0" w:color="auto"/>
            </w:tcBorders>
            <w:shd w:val="clear" w:color="auto" w:fill="auto"/>
            <w:hideMark/>
          </w:tcPr>
          <w:p w14:paraId="43E2EAA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42E9ED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D8D8F3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ABD513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BE138B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A48C15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7FE084"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B9095B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4CB7D3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D909A8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F85E3C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551A99" w14:textId="77777777" w:rsidTr="0041317E">
        <w:trPr>
          <w:trHeight w:val="1032"/>
        </w:trPr>
        <w:tc>
          <w:tcPr>
            <w:tcW w:w="1349" w:type="dxa"/>
            <w:tcBorders>
              <w:top w:val="nil"/>
              <w:left w:val="single" w:sz="4" w:space="0" w:color="auto"/>
              <w:bottom w:val="single" w:sz="4" w:space="0" w:color="auto"/>
              <w:right w:val="single" w:sz="4" w:space="0" w:color="auto"/>
            </w:tcBorders>
            <w:shd w:val="clear" w:color="auto" w:fill="auto"/>
            <w:hideMark/>
          </w:tcPr>
          <w:p w14:paraId="0AD5342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9. Risk Assessment and Mitigation: </w:t>
            </w:r>
          </w:p>
        </w:tc>
        <w:tc>
          <w:tcPr>
            <w:tcW w:w="2363" w:type="dxa"/>
            <w:tcBorders>
              <w:top w:val="nil"/>
              <w:left w:val="nil"/>
              <w:bottom w:val="single" w:sz="4" w:space="0" w:color="auto"/>
              <w:right w:val="single" w:sz="4" w:space="0" w:color="auto"/>
            </w:tcBorders>
            <w:shd w:val="clear" w:color="auto" w:fill="auto"/>
            <w:hideMark/>
          </w:tcPr>
          <w:p w14:paraId="303E439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FB3AAA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Identify potential risks and challenges associated with the project or the crowd funding campaign, and outline strategies to mitigate these risks.</w:t>
            </w:r>
          </w:p>
        </w:tc>
        <w:tc>
          <w:tcPr>
            <w:tcW w:w="2566" w:type="dxa"/>
            <w:tcBorders>
              <w:top w:val="nil"/>
              <w:left w:val="nil"/>
              <w:bottom w:val="single" w:sz="4" w:space="0" w:color="auto"/>
              <w:right w:val="single" w:sz="4" w:space="0" w:color="auto"/>
            </w:tcBorders>
            <w:shd w:val="clear" w:color="auto" w:fill="auto"/>
            <w:hideMark/>
          </w:tcPr>
          <w:p w14:paraId="0AA6CEB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97F6212"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7EA2A7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D6ACFC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Project Risks:</w:t>
            </w:r>
          </w:p>
        </w:tc>
        <w:tc>
          <w:tcPr>
            <w:tcW w:w="6762" w:type="dxa"/>
            <w:tcBorders>
              <w:top w:val="nil"/>
              <w:left w:val="nil"/>
              <w:bottom w:val="single" w:sz="4" w:space="0" w:color="auto"/>
              <w:right w:val="single" w:sz="4" w:space="0" w:color="auto"/>
            </w:tcBorders>
            <w:shd w:val="clear" w:color="auto" w:fill="auto"/>
            <w:hideMark/>
          </w:tcPr>
          <w:p w14:paraId="65B1A48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B02122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52196B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6E228C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D4324C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Technical Risks: </w:t>
            </w:r>
          </w:p>
        </w:tc>
        <w:tc>
          <w:tcPr>
            <w:tcW w:w="6762" w:type="dxa"/>
            <w:tcBorders>
              <w:top w:val="nil"/>
              <w:left w:val="nil"/>
              <w:bottom w:val="single" w:sz="4" w:space="0" w:color="auto"/>
              <w:right w:val="single" w:sz="4" w:space="0" w:color="auto"/>
            </w:tcBorders>
            <w:shd w:val="clear" w:color="auto" w:fill="auto"/>
            <w:hideMark/>
          </w:tcPr>
          <w:p w14:paraId="33E6888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Identify potential technical challenges or limitations that could impact the execution of the research project, such as algorithmic complexity, computational resource constraints, or data availability.</w:t>
            </w:r>
          </w:p>
        </w:tc>
        <w:tc>
          <w:tcPr>
            <w:tcW w:w="2566" w:type="dxa"/>
            <w:tcBorders>
              <w:top w:val="nil"/>
              <w:left w:val="nil"/>
              <w:bottom w:val="single" w:sz="4" w:space="0" w:color="auto"/>
              <w:right w:val="single" w:sz="4" w:space="0" w:color="auto"/>
            </w:tcBorders>
            <w:shd w:val="clear" w:color="auto" w:fill="auto"/>
            <w:hideMark/>
          </w:tcPr>
          <w:p w14:paraId="2E10C9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4B9394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49F15D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6149CA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Resource Risks: </w:t>
            </w:r>
          </w:p>
        </w:tc>
        <w:tc>
          <w:tcPr>
            <w:tcW w:w="6762" w:type="dxa"/>
            <w:tcBorders>
              <w:top w:val="nil"/>
              <w:left w:val="nil"/>
              <w:bottom w:val="single" w:sz="4" w:space="0" w:color="auto"/>
              <w:right w:val="single" w:sz="4" w:space="0" w:color="auto"/>
            </w:tcBorders>
            <w:shd w:val="clear" w:color="auto" w:fill="auto"/>
            <w:hideMark/>
          </w:tcPr>
          <w:p w14:paraId="3FCADFE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Assess the availability and adequacy of resources, including funding, personnel, equipment, and research materials, to support the project's objectives and deliverables.</w:t>
            </w:r>
          </w:p>
        </w:tc>
        <w:tc>
          <w:tcPr>
            <w:tcW w:w="2566" w:type="dxa"/>
            <w:tcBorders>
              <w:top w:val="nil"/>
              <w:left w:val="nil"/>
              <w:bottom w:val="single" w:sz="4" w:space="0" w:color="auto"/>
              <w:right w:val="single" w:sz="4" w:space="0" w:color="auto"/>
            </w:tcBorders>
            <w:shd w:val="clear" w:color="auto" w:fill="auto"/>
            <w:hideMark/>
          </w:tcPr>
          <w:p w14:paraId="64FC78F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10A1A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0D63BD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5C1AC87"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 Schedule Risks: </w:t>
            </w:r>
          </w:p>
        </w:tc>
        <w:tc>
          <w:tcPr>
            <w:tcW w:w="6762" w:type="dxa"/>
            <w:tcBorders>
              <w:top w:val="nil"/>
              <w:left w:val="nil"/>
              <w:bottom w:val="single" w:sz="4" w:space="0" w:color="auto"/>
              <w:right w:val="single" w:sz="4" w:space="0" w:color="auto"/>
            </w:tcBorders>
            <w:shd w:val="clear" w:color="auto" w:fill="auto"/>
            <w:hideMark/>
          </w:tcPr>
          <w:p w14:paraId="7204643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Evaluate the potential for delays or setbacks in project timelines due to unforeseen circumstances, such as technical difficulties, data collection challenges, or personnel turnover.</w:t>
            </w:r>
          </w:p>
        </w:tc>
        <w:tc>
          <w:tcPr>
            <w:tcW w:w="2566" w:type="dxa"/>
            <w:tcBorders>
              <w:top w:val="nil"/>
              <w:left w:val="nil"/>
              <w:bottom w:val="single" w:sz="4" w:space="0" w:color="auto"/>
              <w:right w:val="single" w:sz="4" w:space="0" w:color="auto"/>
            </w:tcBorders>
            <w:shd w:val="clear" w:color="auto" w:fill="auto"/>
            <w:hideMark/>
          </w:tcPr>
          <w:p w14:paraId="2D85CCD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F5DAA4"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615A6E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7B0F11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d. Regulatory Risks: </w:t>
            </w:r>
          </w:p>
        </w:tc>
        <w:tc>
          <w:tcPr>
            <w:tcW w:w="6762" w:type="dxa"/>
            <w:tcBorders>
              <w:top w:val="nil"/>
              <w:left w:val="nil"/>
              <w:bottom w:val="single" w:sz="4" w:space="0" w:color="auto"/>
              <w:right w:val="single" w:sz="4" w:space="0" w:color="auto"/>
            </w:tcBorders>
            <w:shd w:val="clear" w:color="auto" w:fill="auto"/>
            <w:hideMark/>
          </w:tcPr>
          <w:p w14:paraId="1A1CF60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Consider regulatory or compliance requirements that may affect the project, such as ethics approval for human subjects research, data privacy regulations, or export control restrictions on technology or software.</w:t>
            </w:r>
          </w:p>
        </w:tc>
        <w:tc>
          <w:tcPr>
            <w:tcW w:w="2566" w:type="dxa"/>
            <w:tcBorders>
              <w:top w:val="nil"/>
              <w:left w:val="nil"/>
              <w:bottom w:val="single" w:sz="4" w:space="0" w:color="auto"/>
              <w:right w:val="single" w:sz="4" w:space="0" w:color="auto"/>
            </w:tcBorders>
            <w:shd w:val="clear" w:color="auto" w:fill="auto"/>
            <w:hideMark/>
          </w:tcPr>
          <w:p w14:paraId="6416AC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07C78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6D1A2C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35EF7B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e. Intellectual Property Risks: </w:t>
            </w:r>
          </w:p>
        </w:tc>
        <w:tc>
          <w:tcPr>
            <w:tcW w:w="6762" w:type="dxa"/>
            <w:tcBorders>
              <w:top w:val="nil"/>
              <w:left w:val="nil"/>
              <w:bottom w:val="single" w:sz="4" w:space="0" w:color="auto"/>
              <w:right w:val="single" w:sz="4" w:space="0" w:color="auto"/>
            </w:tcBorders>
            <w:shd w:val="clear" w:color="auto" w:fill="auto"/>
            <w:hideMark/>
          </w:tcPr>
          <w:p w14:paraId="4D52540A"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Identify risks related to intellectual property ownership, protection, and licensing, particularly if the project involves developing new algorithms, software, or inventions with commercial potential.</w:t>
            </w:r>
          </w:p>
        </w:tc>
        <w:tc>
          <w:tcPr>
            <w:tcW w:w="2566" w:type="dxa"/>
            <w:tcBorders>
              <w:top w:val="nil"/>
              <w:left w:val="nil"/>
              <w:bottom w:val="single" w:sz="4" w:space="0" w:color="auto"/>
              <w:right w:val="single" w:sz="4" w:space="0" w:color="auto"/>
            </w:tcBorders>
            <w:shd w:val="clear" w:color="auto" w:fill="auto"/>
            <w:hideMark/>
          </w:tcPr>
          <w:p w14:paraId="6A6EE9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AC523C"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17F32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B0280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f. Collaboration Risks: </w:t>
            </w:r>
          </w:p>
        </w:tc>
        <w:tc>
          <w:tcPr>
            <w:tcW w:w="6762" w:type="dxa"/>
            <w:tcBorders>
              <w:top w:val="nil"/>
              <w:left w:val="nil"/>
              <w:bottom w:val="single" w:sz="4" w:space="0" w:color="auto"/>
              <w:right w:val="single" w:sz="4" w:space="0" w:color="auto"/>
            </w:tcBorders>
            <w:shd w:val="clear" w:color="auto" w:fill="auto"/>
            <w:hideMark/>
          </w:tcPr>
          <w:p w14:paraId="1BFBEEA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Assess the risks associated with collaborating with external partners, such as academic institutions, research organizations, or industry partners, including issues related to communication, coordination, and intellectual property agreements.</w:t>
            </w:r>
          </w:p>
        </w:tc>
        <w:tc>
          <w:tcPr>
            <w:tcW w:w="2566" w:type="dxa"/>
            <w:tcBorders>
              <w:top w:val="nil"/>
              <w:left w:val="nil"/>
              <w:bottom w:val="single" w:sz="4" w:space="0" w:color="auto"/>
              <w:right w:val="single" w:sz="4" w:space="0" w:color="auto"/>
            </w:tcBorders>
            <w:shd w:val="clear" w:color="auto" w:fill="auto"/>
            <w:hideMark/>
          </w:tcPr>
          <w:p w14:paraId="2AFE73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69B17C3"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3DBC9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1D976A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5EA962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326125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270DE3"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6EB3A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921D6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Crowd Funding Campaign Risks:</w:t>
            </w:r>
          </w:p>
        </w:tc>
        <w:tc>
          <w:tcPr>
            <w:tcW w:w="6762" w:type="dxa"/>
            <w:tcBorders>
              <w:top w:val="nil"/>
              <w:left w:val="nil"/>
              <w:bottom w:val="single" w:sz="4" w:space="0" w:color="auto"/>
              <w:right w:val="single" w:sz="4" w:space="0" w:color="auto"/>
            </w:tcBorders>
            <w:shd w:val="clear" w:color="auto" w:fill="auto"/>
            <w:hideMark/>
          </w:tcPr>
          <w:p w14:paraId="723C8BB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17C8C48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76AB8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14C777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8FB3F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Funding Goal Not Met: </w:t>
            </w:r>
          </w:p>
        </w:tc>
        <w:tc>
          <w:tcPr>
            <w:tcW w:w="6762" w:type="dxa"/>
            <w:tcBorders>
              <w:top w:val="nil"/>
              <w:left w:val="nil"/>
              <w:bottom w:val="single" w:sz="4" w:space="0" w:color="auto"/>
              <w:right w:val="single" w:sz="4" w:space="0" w:color="auto"/>
            </w:tcBorders>
            <w:shd w:val="clear" w:color="auto" w:fill="auto"/>
            <w:hideMark/>
          </w:tcPr>
          <w:p w14:paraId="0CF8239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Recognize the risk of not achieving the targeted funding goal within the specified campaign duration, which could impact the project's ability to proceed as planned.</w:t>
            </w:r>
          </w:p>
        </w:tc>
        <w:tc>
          <w:tcPr>
            <w:tcW w:w="2566" w:type="dxa"/>
            <w:tcBorders>
              <w:top w:val="nil"/>
              <w:left w:val="nil"/>
              <w:bottom w:val="single" w:sz="4" w:space="0" w:color="auto"/>
              <w:right w:val="single" w:sz="4" w:space="0" w:color="auto"/>
            </w:tcBorders>
            <w:shd w:val="clear" w:color="auto" w:fill="auto"/>
            <w:hideMark/>
          </w:tcPr>
          <w:p w14:paraId="2679F9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4E0FB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53A03CF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5502D3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Limited Backer Engagement: </w:t>
            </w:r>
          </w:p>
        </w:tc>
        <w:tc>
          <w:tcPr>
            <w:tcW w:w="6762" w:type="dxa"/>
            <w:tcBorders>
              <w:top w:val="nil"/>
              <w:left w:val="nil"/>
              <w:bottom w:val="single" w:sz="4" w:space="0" w:color="auto"/>
              <w:right w:val="single" w:sz="4" w:space="0" w:color="auto"/>
            </w:tcBorders>
            <w:shd w:val="clear" w:color="auto" w:fill="auto"/>
            <w:hideMark/>
          </w:tcPr>
          <w:p w14:paraId="2FE3947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Address the risk of insufficient engagement or interest from potential backers, resulting in low campaign visibility, limited funding support, and reduced project impact.</w:t>
            </w:r>
          </w:p>
        </w:tc>
        <w:tc>
          <w:tcPr>
            <w:tcW w:w="2566" w:type="dxa"/>
            <w:tcBorders>
              <w:top w:val="nil"/>
              <w:left w:val="nil"/>
              <w:bottom w:val="single" w:sz="4" w:space="0" w:color="auto"/>
              <w:right w:val="single" w:sz="4" w:space="0" w:color="auto"/>
            </w:tcBorders>
            <w:shd w:val="clear" w:color="auto" w:fill="auto"/>
            <w:hideMark/>
          </w:tcPr>
          <w:p w14:paraId="48C43C6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1D52DED"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CBDA0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1B85BC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 Communication Challenges: </w:t>
            </w:r>
          </w:p>
        </w:tc>
        <w:tc>
          <w:tcPr>
            <w:tcW w:w="6762" w:type="dxa"/>
            <w:tcBorders>
              <w:top w:val="nil"/>
              <w:left w:val="nil"/>
              <w:bottom w:val="single" w:sz="4" w:space="0" w:color="auto"/>
              <w:right w:val="single" w:sz="4" w:space="0" w:color="auto"/>
            </w:tcBorders>
            <w:shd w:val="clear" w:color="auto" w:fill="auto"/>
            <w:hideMark/>
          </w:tcPr>
          <w:p w14:paraId="58A606F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Anticipate challenges in effectively communicating the project's value proposition, goals, and progress updates to potential backers, leading to misunderstanding or disengagement.</w:t>
            </w:r>
          </w:p>
        </w:tc>
        <w:tc>
          <w:tcPr>
            <w:tcW w:w="2566" w:type="dxa"/>
            <w:tcBorders>
              <w:top w:val="nil"/>
              <w:left w:val="nil"/>
              <w:bottom w:val="single" w:sz="4" w:space="0" w:color="auto"/>
              <w:right w:val="single" w:sz="4" w:space="0" w:color="auto"/>
            </w:tcBorders>
            <w:shd w:val="clear" w:color="auto" w:fill="auto"/>
            <w:hideMark/>
          </w:tcPr>
          <w:p w14:paraId="7465D62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6516F2E"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A4F808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70304C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d. Platform Limitations: </w:t>
            </w:r>
          </w:p>
        </w:tc>
        <w:tc>
          <w:tcPr>
            <w:tcW w:w="6762" w:type="dxa"/>
            <w:tcBorders>
              <w:top w:val="nil"/>
              <w:left w:val="nil"/>
              <w:bottom w:val="single" w:sz="4" w:space="0" w:color="auto"/>
              <w:right w:val="single" w:sz="4" w:space="0" w:color="auto"/>
            </w:tcBorders>
            <w:shd w:val="clear" w:color="auto" w:fill="auto"/>
            <w:hideMark/>
          </w:tcPr>
          <w:p w14:paraId="19DA29B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Acknowledge the limitations or constraints of the chosen crowd funding platform(s), such as platform fees, eligibility criteria, or technical issues, which may impact the campaign's success and resource allocation.</w:t>
            </w:r>
          </w:p>
        </w:tc>
        <w:tc>
          <w:tcPr>
            <w:tcW w:w="2566" w:type="dxa"/>
            <w:tcBorders>
              <w:top w:val="nil"/>
              <w:left w:val="nil"/>
              <w:bottom w:val="single" w:sz="4" w:space="0" w:color="auto"/>
              <w:right w:val="single" w:sz="4" w:space="0" w:color="auto"/>
            </w:tcBorders>
            <w:shd w:val="clear" w:color="auto" w:fill="auto"/>
            <w:hideMark/>
          </w:tcPr>
          <w:p w14:paraId="617E5360"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6FBD1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3D23015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F83BD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081C153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660F8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0201ADA"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5FB6690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E848E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Mitigation Strategies:</w:t>
            </w:r>
          </w:p>
        </w:tc>
        <w:tc>
          <w:tcPr>
            <w:tcW w:w="6762" w:type="dxa"/>
            <w:tcBorders>
              <w:top w:val="nil"/>
              <w:left w:val="nil"/>
              <w:bottom w:val="single" w:sz="4" w:space="0" w:color="auto"/>
              <w:right w:val="single" w:sz="4" w:space="0" w:color="auto"/>
            </w:tcBorders>
            <w:shd w:val="clear" w:color="auto" w:fill="auto"/>
            <w:hideMark/>
          </w:tcPr>
          <w:p w14:paraId="3141761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75C6F2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FF4A56F"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1AB323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567593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Diversification of Funding Sources: </w:t>
            </w:r>
          </w:p>
        </w:tc>
        <w:tc>
          <w:tcPr>
            <w:tcW w:w="6762" w:type="dxa"/>
            <w:tcBorders>
              <w:top w:val="nil"/>
              <w:left w:val="nil"/>
              <w:bottom w:val="single" w:sz="4" w:space="0" w:color="auto"/>
              <w:right w:val="single" w:sz="4" w:space="0" w:color="auto"/>
            </w:tcBorders>
            <w:shd w:val="clear" w:color="auto" w:fill="auto"/>
            <w:hideMark/>
          </w:tcPr>
          <w:p w14:paraId="48D5BAD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Mitigate funding risks by exploring alternative sources of funding, such as grants, sponsorships, or collaborations with research institutions or industry partners.</w:t>
            </w:r>
          </w:p>
        </w:tc>
        <w:tc>
          <w:tcPr>
            <w:tcW w:w="2566" w:type="dxa"/>
            <w:tcBorders>
              <w:top w:val="nil"/>
              <w:left w:val="nil"/>
              <w:bottom w:val="single" w:sz="4" w:space="0" w:color="auto"/>
              <w:right w:val="single" w:sz="4" w:space="0" w:color="auto"/>
            </w:tcBorders>
            <w:shd w:val="clear" w:color="auto" w:fill="auto"/>
            <w:hideMark/>
          </w:tcPr>
          <w:p w14:paraId="4A6E991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AEA443"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377B5A2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3D96C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Contingency Planning: </w:t>
            </w:r>
          </w:p>
        </w:tc>
        <w:tc>
          <w:tcPr>
            <w:tcW w:w="6762" w:type="dxa"/>
            <w:tcBorders>
              <w:top w:val="nil"/>
              <w:left w:val="nil"/>
              <w:bottom w:val="single" w:sz="4" w:space="0" w:color="auto"/>
              <w:right w:val="single" w:sz="4" w:space="0" w:color="auto"/>
            </w:tcBorders>
            <w:shd w:val="clear" w:color="auto" w:fill="auto"/>
            <w:hideMark/>
          </w:tcPr>
          <w:p w14:paraId="5FCE349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Develop contingency plans to address potential project risks, including alternative research approaches, backup data sources, or reserve funds to cover unexpected expenses or delays.</w:t>
            </w:r>
          </w:p>
        </w:tc>
        <w:tc>
          <w:tcPr>
            <w:tcW w:w="2566" w:type="dxa"/>
            <w:tcBorders>
              <w:top w:val="nil"/>
              <w:left w:val="nil"/>
              <w:bottom w:val="single" w:sz="4" w:space="0" w:color="auto"/>
              <w:right w:val="single" w:sz="4" w:space="0" w:color="auto"/>
            </w:tcBorders>
            <w:shd w:val="clear" w:color="auto" w:fill="auto"/>
            <w:hideMark/>
          </w:tcPr>
          <w:p w14:paraId="04C599E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72712B"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5E07AA6"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FCE2A1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 Engagement and Outreach: </w:t>
            </w:r>
          </w:p>
        </w:tc>
        <w:tc>
          <w:tcPr>
            <w:tcW w:w="6762" w:type="dxa"/>
            <w:tcBorders>
              <w:top w:val="nil"/>
              <w:left w:val="nil"/>
              <w:bottom w:val="single" w:sz="4" w:space="0" w:color="auto"/>
              <w:right w:val="single" w:sz="4" w:space="0" w:color="auto"/>
            </w:tcBorders>
            <w:shd w:val="clear" w:color="auto" w:fill="auto"/>
            <w:hideMark/>
          </w:tcPr>
          <w:p w14:paraId="5332856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Mitigate campaign risks by implementing a comprehensive engagement and outreach strategy to raise awareness, build momentum, and cultivate support from potential backers and stakeholders.</w:t>
            </w:r>
          </w:p>
        </w:tc>
        <w:tc>
          <w:tcPr>
            <w:tcW w:w="2566" w:type="dxa"/>
            <w:tcBorders>
              <w:top w:val="nil"/>
              <w:left w:val="nil"/>
              <w:bottom w:val="single" w:sz="4" w:space="0" w:color="auto"/>
              <w:right w:val="single" w:sz="4" w:space="0" w:color="auto"/>
            </w:tcBorders>
            <w:shd w:val="clear" w:color="auto" w:fill="auto"/>
            <w:hideMark/>
          </w:tcPr>
          <w:p w14:paraId="5433DB5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4100F0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156C734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C8F8A3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d. Transparent Communication: </w:t>
            </w:r>
          </w:p>
        </w:tc>
        <w:tc>
          <w:tcPr>
            <w:tcW w:w="6762" w:type="dxa"/>
            <w:tcBorders>
              <w:top w:val="nil"/>
              <w:left w:val="nil"/>
              <w:bottom w:val="single" w:sz="4" w:space="0" w:color="auto"/>
              <w:right w:val="single" w:sz="4" w:space="0" w:color="auto"/>
            </w:tcBorders>
            <w:shd w:val="clear" w:color="auto" w:fill="auto"/>
            <w:hideMark/>
          </w:tcPr>
          <w:p w14:paraId="29B7346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Mitigate communication risks by maintaining open, transparent communication with backers throughout the campaign, providing regular updates on project progress, challenges, and milestones achieved.</w:t>
            </w:r>
          </w:p>
        </w:tc>
        <w:tc>
          <w:tcPr>
            <w:tcW w:w="2566" w:type="dxa"/>
            <w:tcBorders>
              <w:top w:val="nil"/>
              <w:left w:val="nil"/>
              <w:bottom w:val="single" w:sz="4" w:space="0" w:color="auto"/>
              <w:right w:val="single" w:sz="4" w:space="0" w:color="auto"/>
            </w:tcBorders>
            <w:shd w:val="clear" w:color="auto" w:fill="auto"/>
            <w:hideMark/>
          </w:tcPr>
          <w:p w14:paraId="74614E9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1D6D742"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071C7CC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AEC5302"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e. Platform Selection: </w:t>
            </w:r>
          </w:p>
        </w:tc>
        <w:tc>
          <w:tcPr>
            <w:tcW w:w="6762" w:type="dxa"/>
            <w:tcBorders>
              <w:top w:val="nil"/>
              <w:left w:val="nil"/>
              <w:bottom w:val="single" w:sz="4" w:space="0" w:color="auto"/>
              <w:right w:val="single" w:sz="4" w:space="0" w:color="auto"/>
            </w:tcBorders>
            <w:shd w:val="clear" w:color="auto" w:fill="auto"/>
            <w:hideMark/>
          </w:tcPr>
          <w:p w14:paraId="073956B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Mitigate platform-related risks by carefully selecting and evaluating crowd funding platforms that offer robust features, a supportive community, and alignment with the project's goals and target audience.</w:t>
            </w:r>
          </w:p>
        </w:tc>
        <w:tc>
          <w:tcPr>
            <w:tcW w:w="2566" w:type="dxa"/>
            <w:tcBorders>
              <w:top w:val="nil"/>
              <w:left w:val="nil"/>
              <w:bottom w:val="single" w:sz="4" w:space="0" w:color="auto"/>
              <w:right w:val="single" w:sz="4" w:space="0" w:color="auto"/>
            </w:tcBorders>
            <w:shd w:val="clear" w:color="auto" w:fill="auto"/>
            <w:hideMark/>
          </w:tcPr>
          <w:p w14:paraId="3DC035A5"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F2D45DB"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A0CAA0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2E4EC4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349FA5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81600E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C383BEC"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46DDB54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80530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Risk Monitoring and Response:</w:t>
            </w:r>
          </w:p>
        </w:tc>
        <w:tc>
          <w:tcPr>
            <w:tcW w:w="6762" w:type="dxa"/>
            <w:tcBorders>
              <w:top w:val="nil"/>
              <w:left w:val="nil"/>
              <w:bottom w:val="single" w:sz="4" w:space="0" w:color="auto"/>
              <w:right w:val="single" w:sz="4" w:space="0" w:color="auto"/>
            </w:tcBorders>
            <w:shd w:val="clear" w:color="auto" w:fill="auto"/>
            <w:hideMark/>
          </w:tcPr>
          <w:p w14:paraId="4FFD7B5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A71D65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C910151"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45F735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CD7FF8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Regular Monitoring: </w:t>
            </w:r>
          </w:p>
        </w:tc>
        <w:tc>
          <w:tcPr>
            <w:tcW w:w="6762" w:type="dxa"/>
            <w:tcBorders>
              <w:top w:val="nil"/>
              <w:left w:val="nil"/>
              <w:bottom w:val="single" w:sz="4" w:space="0" w:color="auto"/>
              <w:right w:val="single" w:sz="4" w:space="0" w:color="auto"/>
            </w:tcBorders>
            <w:shd w:val="clear" w:color="auto" w:fill="auto"/>
            <w:hideMark/>
          </w:tcPr>
          <w:p w14:paraId="4572F01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Monitor project and campaign progress regularly to identify emerging risks, issues, or opportunities that may require mitigation or adjustment of strategies.</w:t>
            </w:r>
          </w:p>
        </w:tc>
        <w:tc>
          <w:tcPr>
            <w:tcW w:w="2566" w:type="dxa"/>
            <w:tcBorders>
              <w:top w:val="nil"/>
              <w:left w:val="nil"/>
              <w:bottom w:val="single" w:sz="4" w:space="0" w:color="auto"/>
              <w:right w:val="single" w:sz="4" w:space="0" w:color="auto"/>
            </w:tcBorders>
            <w:shd w:val="clear" w:color="auto" w:fill="auto"/>
            <w:hideMark/>
          </w:tcPr>
          <w:p w14:paraId="657109C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E049D45"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21EC5B1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36F52F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Adaptive Planning: </w:t>
            </w:r>
          </w:p>
        </w:tc>
        <w:tc>
          <w:tcPr>
            <w:tcW w:w="6762" w:type="dxa"/>
            <w:tcBorders>
              <w:top w:val="nil"/>
              <w:left w:val="nil"/>
              <w:bottom w:val="single" w:sz="4" w:space="0" w:color="auto"/>
              <w:right w:val="single" w:sz="4" w:space="0" w:color="auto"/>
            </w:tcBorders>
            <w:shd w:val="clear" w:color="auto" w:fill="auto"/>
            <w:hideMark/>
          </w:tcPr>
          <w:p w14:paraId="60CE2D0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Maintain flexibility and adaptability in project and campaign planning to respond effectively to changing circumstances, stakeholder feedback, or unexpected events.</w:t>
            </w:r>
          </w:p>
        </w:tc>
        <w:tc>
          <w:tcPr>
            <w:tcW w:w="2566" w:type="dxa"/>
            <w:tcBorders>
              <w:top w:val="nil"/>
              <w:left w:val="nil"/>
              <w:bottom w:val="single" w:sz="4" w:space="0" w:color="auto"/>
              <w:right w:val="single" w:sz="4" w:space="0" w:color="auto"/>
            </w:tcBorders>
            <w:shd w:val="clear" w:color="auto" w:fill="auto"/>
            <w:hideMark/>
          </w:tcPr>
          <w:p w14:paraId="60A3912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9C8E14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121255EF"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4775AA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c. Continuous Improvement: </w:t>
            </w:r>
          </w:p>
        </w:tc>
        <w:tc>
          <w:tcPr>
            <w:tcW w:w="6762" w:type="dxa"/>
            <w:tcBorders>
              <w:top w:val="nil"/>
              <w:left w:val="nil"/>
              <w:bottom w:val="single" w:sz="4" w:space="0" w:color="auto"/>
              <w:right w:val="single" w:sz="4" w:space="0" w:color="auto"/>
            </w:tcBorders>
            <w:shd w:val="clear" w:color="auto" w:fill="auto"/>
            <w:hideMark/>
          </w:tcPr>
          <w:p w14:paraId="51DDDF0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Learn from past experiences, successes, and challenges to refine and improve risk management practices for future projects and campaigns.</w:t>
            </w:r>
          </w:p>
        </w:tc>
        <w:tc>
          <w:tcPr>
            <w:tcW w:w="2566" w:type="dxa"/>
            <w:tcBorders>
              <w:top w:val="nil"/>
              <w:left w:val="nil"/>
              <w:bottom w:val="single" w:sz="4" w:space="0" w:color="auto"/>
              <w:right w:val="single" w:sz="4" w:space="0" w:color="auto"/>
            </w:tcBorders>
            <w:shd w:val="clear" w:color="auto" w:fill="auto"/>
            <w:hideMark/>
          </w:tcPr>
          <w:p w14:paraId="47C132D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1D7FA8F"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A78872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CE62C9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548E6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48CC54A4"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A06EBA6"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35B417C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008F8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5. Conclusion: </w:t>
            </w:r>
          </w:p>
        </w:tc>
        <w:tc>
          <w:tcPr>
            <w:tcW w:w="6762" w:type="dxa"/>
            <w:tcBorders>
              <w:top w:val="nil"/>
              <w:left w:val="nil"/>
              <w:bottom w:val="single" w:sz="4" w:space="0" w:color="auto"/>
              <w:right w:val="single" w:sz="4" w:space="0" w:color="auto"/>
            </w:tcBorders>
            <w:shd w:val="clear" w:color="auto" w:fill="auto"/>
            <w:hideMark/>
          </w:tcPr>
          <w:p w14:paraId="058FC36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xml:space="preserve">By conducting a thorough risk assessment and implementing proactive mitigation strategies, you can enhance the resilience and success of the project and crowd funding campaign, minimizing potential setbacks and maximizing opportunities for achieving your goals. </w:t>
            </w:r>
          </w:p>
        </w:tc>
        <w:tc>
          <w:tcPr>
            <w:tcW w:w="2566" w:type="dxa"/>
            <w:tcBorders>
              <w:top w:val="nil"/>
              <w:left w:val="nil"/>
              <w:bottom w:val="single" w:sz="4" w:space="0" w:color="auto"/>
              <w:right w:val="single" w:sz="4" w:space="0" w:color="auto"/>
            </w:tcBorders>
            <w:shd w:val="clear" w:color="auto" w:fill="auto"/>
            <w:hideMark/>
          </w:tcPr>
          <w:p w14:paraId="7749171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B5E4B78"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68B1E8B"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21F68CE"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A04640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57F2FE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F020037" w14:textId="77777777" w:rsidTr="0041317E">
        <w:trPr>
          <w:trHeight w:val="774"/>
        </w:trPr>
        <w:tc>
          <w:tcPr>
            <w:tcW w:w="1349" w:type="dxa"/>
            <w:tcBorders>
              <w:top w:val="nil"/>
              <w:left w:val="single" w:sz="4" w:space="0" w:color="auto"/>
              <w:bottom w:val="single" w:sz="4" w:space="0" w:color="auto"/>
              <w:right w:val="single" w:sz="4" w:space="0" w:color="auto"/>
            </w:tcBorders>
            <w:shd w:val="clear" w:color="auto" w:fill="auto"/>
            <w:hideMark/>
          </w:tcPr>
          <w:p w14:paraId="6B823985"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xml:space="preserve">10. Ethical Considerations: </w:t>
            </w:r>
          </w:p>
        </w:tc>
        <w:tc>
          <w:tcPr>
            <w:tcW w:w="2363" w:type="dxa"/>
            <w:tcBorders>
              <w:top w:val="nil"/>
              <w:left w:val="nil"/>
              <w:bottom w:val="single" w:sz="4" w:space="0" w:color="auto"/>
              <w:right w:val="single" w:sz="4" w:space="0" w:color="auto"/>
            </w:tcBorders>
            <w:shd w:val="clear" w:color="auto" w:fill="auto"/>
            <w:hideMark/>
          </w:tcPr>
          <w:p w14:paraId="7DE5982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C0A0AB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Discuss any ethical considerations related to the project, such as data privacy, consent, and potential impacts on society or the environment.</w:t>
            </w:r>
          </w:p>
        </w:tc>
        <w:tc>
          <w:tcPr>
            <w:tcW w:w="2566" w:type="dxa"/>
            <w:tcBorders>
              <w:top w:val="nil"/>
              <w:left w:val="nil"/>
              <w:bottom w:val="single" w:sz="4" w:space="0" w:color="auto"/>
              <w:right w:val="single" w:sz="4" w:space="0" w:color="auto"/>
            </w:tcBorders>
            <w:shd w:val="clear" w:color="auto" w:fill="auto"/>
            <w:hideMark/>
          </w:tcPr>
          <w:p w14:paraId="584A21D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7575B8B"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7ACF0B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EBDAD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1. Data Privacy:</w:t>
            </w:r>
          </w:p>
        </w:tc>
        <w:tc>
          <w:tcPr>
            <w:tcW w:w="6762" w:type="dxa"/>
            <w:tcBorders>
              <w:top w:val="nil"/>
              <w:left w:val="nil"/>
              <w:bottom w:val="single" w:sz="4" w:space="0" w:color="auto"/>
              <w:right w:val="single" w:sz="4" w:space="0" w:color="auto"/>
            </w:tcBorders>
            <w:shd w:val="clear" w:color="auto" w:fill="auto"/>
            <w:hideMark/>
          </w:tcPr>
          <w:p w14:paraId="3A36634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38CB061"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5AF4F6D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4D5FC953"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BB4938"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Protection of Personal Data: </w:t>
            </w:r>
          </w:p>
        </w:tc>
        <w:tc>
          <w:tcPr>
            <w:tcW w:w="6762" w:type="dxa"/>
            <w:tcBorders>
              <w:top w:val="nil"/>
              <w:left w:val="nil"/>
              <w:bottom w:val="single" w:sz="4" w:space="0" w:color="auto"/>
              <w:right w:val="single" w:sz="4" w:space="0" w:color="auto"/>
            </w:tcBorders>
            <w:shd w:val="clear" w:color="auto" w:fill="auto"/>
            <w:hideMark/>
          </w:tcPr>
          <w:p w14:paraId="21F4E1E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Ensure compliance with data privacy regulations and ethical standards by implementing measures to protect the privacy and confidentiality of personal data collected or used in the project. This may include obtaining informed consent, anonymizing or de-identifying sensitive information, and securing data storage and transmission.</w:t>
            </w:r>
          </w:p>
        </w:tc>
        <w:tc>
          <w:tcPr>
            <w:tcW w:w="2566" w:type="dxa"/>
            <w:tcBorders>
              <w:top w:val="nil"/>
              <w:left w:val="nil"/>
              <w:bottom w:val="single" w:sz="4" w:space="0" w:color="auto"/>
              <w:right w:val="single" w:sz="4" w:space="0" w:color="auto"/>
            </w:tcBorders>
            <w:shd w:val="clear" w:color="auto" w:fill="auto"/>
            <w:hideMark/>
          </w:tcPr>
          <w:p w14:paraId="4A8B3EC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F61DC2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2ADA08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9F4CE8F"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Data Security: </w:t>
            </w:r>
          </w:p>
        </w:tc>
        <w:tc>
          <w:tcPr>
            <w:tcW w:w="6762" w:type="dxa"/>
            <w:tcBorders>
              <w:top w:val="nil"/>
              <w:left w:val="nil"/>
              <w:bottom w:val="single" w:sz="4" w:space="0" w:color="auto"/>
              <w:right w:val="single" w:sz="4" w:space="0" w:color="auto"/>
            </w:tcBorders>
            <w:shd w:val="clear" w:color="auto" w:fill="auto"/>
            <w:hideMark/>
          </w:tcPr>
          <w:p w14:paraId="1FA52A8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Implement robust data security measures to prevent unauthorized access, disclosure, or misuse of sensitive data. Encrypt data during storage and transmission, restrict access to authorized personnel only, and regularly update security protocols to mitigate risks of data breaches or cyberattacks.</w:t>
            </w:r>
          </w:p>
        </w:tc>
        <w:tc>
          <w:tcPr>
            <w:tcW w:w="2566" w:type="dxa"/>
            <w:tcBorders>
              <w:top w:val="nil"/>
              <w:left w:val="nil"/>
              <w:bottom w:val="single" w:sz="4" w:space="0" w:color="auto"/>
              <w:right w:val="single" w:sz="4" w:space="0" w:color="auto"/>
            </w:tcBorders>
            <w:shd w:val="clear" w:color="auto" w:fill="auto"/>
            <w:hideMark/>
          </w:tcPr>
          <w:p w14:paraId="1E5D611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B44899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848DF7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EB119A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7B327542"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9C9516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6997ADF" w14:textId="77777777" w:rsidTr="0041317E">
        <w:trPr>
          <w:trHeight w:val="624"/>
        </w:trPr>
        <w:tc>
          <w:tcPr>
            <w:tcW w:w="1349" w:type="dxa"/>
            <w:tcBorders>
              <w:top w:val="nil"/>
              <w:left w:val="single" w:sz="4" w:space="0" w:color="auto"/>
              <w:bottom w:val="single" w:sz="4" w:space="0" w:color="auto"/>
              <w:right w:val="single" w:sz="4" w:space="0" w:color="auto"/>
            </w:tcBorders>
            <w:shd w:val="clear" w:color="auto" w:fill="auto"/>
            <w:hideMark/>
          </w:tcPr>
          <w:p w14:paraId="2F5FA0BA"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02A5D9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2. Informed Consent:</w:t>
            </w:r>
          </w:p>
        </w:tc>
        <w:tc>
          <w:tcPr>
            <w:tcW w:w="6762" w:type="dxa"/>
            <w:tcBorders>
              <w:top w:val="nil"/>
              <w:left w:val="nil"/>
              <w:bottom w:val="single" w:sz="4" w:space="0" w:color="auto"/>
              <w:right w:val="single" w:sz="4" w:space="0" w:color="auto"/>
            </w:tcBorders>
            <w:shd w:val="clear" w:color="auto" w:fill="auto"/>
            <w:hideMark/>
          </w:tcPr>
          <w:p w14:paraId="2FA3A20B"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38C40AA"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91F7644" w14:textId="77777777" w:rsidTr="0041317E">
        <w:trPr>
          <w:trHeight w:val="1872"/>
        </w:trPr>
        <w:tc>
          <w:tcPr>
            <w:tcW w:w="1349" w:type="dxa"/>
            <w:tcBorders>
              <w:top w:val="nil"/>
              <w:left w:val="single" w:sz="4" w:space="0" w:color="auto"/>
              <w:bottom w:val="single" w:sz="4" w:space="0" w:color="auto"/>
              <w:right w:val="single" w:sz="4" w:space="0" w:color="auto"/>
            </w:tcBorders>
            <w:shd w:val="clear" w:color="auto" w:fill="auto"/>
            <w:hideMark/>
          </w:tcPr>
          <w:p w14:paraId="690B90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BC3E51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Participant Consent: </w:t>
            </w:r>
          </w:p>
        </w:tc>
        <w:tc>
          <w:tcPr>
            <w:tcW w:w="6762" w:type="dxa"/>
            <w:tcBorders>
              <w:top w:val="nil"/>
              <w:left w:val="nil"/>
              <w:bottom w:val="single" w:sz="4" w:space="0" w:color="auto"/>
              <w:right w:val="single" w:sz="4" w:space="0" w:color="auto"/>
            </w:tcBorders>
            <w:shd w:val="clear" w:color="auto" w:fill="auto"/>
            <w:hideMark/>
          </w:tcPr>
          <w:p w14:paraId="253842A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Obtain informed consent from research participants, collaborators, or stakeholders involved in the project, ensuring they understand the purpose, risks, benefits, and procedures of their involvement. Provide clear and transparent information about data collection, use, and confidentiality, and respect participants' autonomy to voluntarily consent or withdraw from participation at any time.</w:t>
            </w:r>
          </w:p>
        </w:tc>
        <w:tc>
          <w:tcPr>
            <w:tcW w:w="2566" w:type="dxa"/>
            <w:tcBorders>
              <w:top w:val="nil"/>
              <w:left w:val="nil"/>
              <w:bottom w:val="single" w:sz="4" w:space="0" w:color="auto"/>
              <w:right w:val="single" w:sz="4" w:space="0" w:color="auto"/>
            </w:tcBorders>
            <w:shd w:val="clear" w:color="auto" w:fill="auto"/>
            <w:hideMark/>
          </w:tcPr>
          <w:p w14:paraId="7A62BDFC"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D0627A"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0708E32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AFEF77A"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Ethical Review: </w:t>
            </w:r>
          </w:p>
        </w:tc>
        <w:tc>
          <w:tcPr>
            <w:tcW w:w="6762" w:type="dxa"/>
            <w:tcBorders>
              <w:top w:val="nil"/>
              <w:left w:val="nil"/>
              <w:bottom w:val="single" w:sz="4" w:space="0" w:color="auto"/>
              <w:right w:val="single" w:sz="4" w:space="0" w:color="auto"/>
            </w:tcBorders>
            <w:shd w:val="clear" w:color="auto" w:fill="auto"/>
            <w:hideMark/>
          </w:tcPr>
          <w:p w14:paraId="2268F8E3"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Seek approval from institutional review boards (IRBs) or ethics committees to ensure that research protocols involving human subjects comply with ethical guidelines and standards for informed consent, privacy protection, and risk mitigation.</w:t>
            </w:r>
          </w:p>
        </w:tc>
        <w:tc>
          <w:tcPr>
            <w:tcW w:w="2566" w:type="dxa"/>
            <w:tcBorders>
              <w:top w:val="nil"/>
              <w:left w:val="nil"/>
              <w:bottom w:val="single" w:sz="4" w:space="0" w:color="auto"/>
              <w:right w:val="single" w:sz="4" w:space="0" w:color="auto"/>
            </w:tcBorders>
            <w:shd w:val="clear" w:color="auto" w:fill="auto"/>
            <w:hideMark/>
          </w:tcPr>
          <w:p w14:paraId="3020CF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952F6A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565EEA5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124FF2F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20293A96"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8B9573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D6C2B00"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6ECE18B2"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3965A4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3. Societal and Environmental Impacts:</w:t>
            </w:r>
          </w:p>
        </w:tc>
        <w:tc>
          <w:tcPr>
            <w:tcW w:w="6762" w:type="dxa"/>
            <w:tcBorders>
              <w:top w:val="nil"/>
              <w:left w:val="nil"/>
              <w:bottom w:val="single" w:sz="4" w:space="0" w:color="auto"/>
              <w:right w:val="single" w:sz="4" w:space="0" w:color="auto"/>
            </w:tcBorders>
            <w:shd w:val="clear" w:color="auto" w:fill="auto"/>
            <w:hideMark/>
          </w:tcPr>
          <w:p w14:paraId="6A131CB4"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7A41126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2B379B29"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9BA655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6ECF436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Social Responsibility: </w:t>
            </w:r>
          </w:p>
        </w:tc>
        <w:tc>
          <w:tcPr>
            <w:tcW w:w="6762" w:type="dxa"/>
            <w:tcBorders>
              <w:top w:val="nil"/>
              <w:left w:val="nil"/>
              <w:bottom w:val="single" w:sz="4" w:space="0" w:color="auto"/>
              <w:right w:val="single" w:sz="4" w:space="0" w:color="auto"/>
            </w:tcBorders>
            <w:shd w:val="clear" w:color="auto" w:fill="auto"/>
            <w:hideMark/>
          </w:tcPr>
          <w:p w14:paraId="20599D1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Consider the potential societal impacts of the project on diverse stakeholders, communities, or populations, including issues related to equity, inclusion, and social justice. Evaluate the project's potential to contribute positively to society, address pressing challenges, or promote sustainable development.</w:t>
            </w:r>
          </w:p>
        </w:tc>
        <w:tc>
          <w:tcPr>
            <w:tcW w:w="2566" w:type="dxa"/>
            <w:tcBorders>
              <w:top w:val="nil"/>
              <w:left w:val="nil"/>
              <w:bottom w:val="single" w:sz="4" w:space="0" w:color="auto"/>
              <w:right w:val="single" w:sz="4" w:space="0" w:color="auto"/>
            </w:tcBorders>
            <w:shd w:val="clear" w:color="auto" w:fill="auto"/>
            <w:hideMark/>
          </w:tcPr>
          <w:p w14:paraId="28ED1B2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07411235"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F482E44"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F23AD49"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Environmental Sustainability: </w:t>
            </w:r>
          </w:p>
        </w:tc>
        <w:tc>
          <w:tcPr>
            <w:tcW w:w="6762" w:type="dxa"/>
            <w:tcBorders>
              <w:top w:val="nil"/>
              <w:left w:val="nil"/>
              <w:bottom w:val="single" w:sz="4" w:space="0" w:color="auto"/>
              <w:right w:val="single" w:sz="4" w:space="0" w:color="auto"/>
            </w:tcBorders>
            <w:shd w:val="clear" w:color="auto" w:fill="auto"/>
            <w:hideMark/>
          </w:tcPr>
          <w:p w14:paraId="76BBA76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Assess the environmental impacts of the project, including resource consumption, waste generation, and carbon footprint. Implement measures to minimize environmental harm, promote sustainable practices, and mitigate adverse effects on ecosystems, biodiversity, and natural resources.</w:t>
            </w:r>
          </w:p>
        </w:tc>
        <w:tc>
          <w:tcPr>
            <w:tcW w:w="2566" w:type="dxa"/>
            <w:tcBorders>
              <w:top w:val="nil"/>
              <w:left w:val="nil"/>
              <w:bottom w:val="single" w:sz="4" w:space="0" w:color="auto"/>
              <w:right w:val="single" w:sz="4" w:space="0" w:color="auto"/>
            </w:tcBorders>
            <w:shd w:val="clear" w:color="auto" w:fill="auto"/>
            <w:hideMark/>
          </w:tcPr>
          <w:p w14:paraId="18120B1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E0C71CD"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66643758"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DAC1EB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3F23DE2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5E0D449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CE08A7" w14:textId="77777777" w:rsidTr="0041317E">
        <w:trPr>
          <w:trHeight w:val="936"/>
        </w:trPr>
        <w:tc>
          <w:tcPr>
            <w:tcW w:w="1349" w:type="dxa"/>
            <w:tcBorders>
              <w:top w:val="nil"/>
              <w:left w:val="single" w:sz="4" w:space="0" w:color="auto"/>
              <w:bottom w:val="single" w:sz="4" w:space="0" w:color="auto"/>
              <w:right w:val="single" w:sz="4" w:space="0" w:color="auto"/>
            </w:tcBorders>
            <w:shd w:val="clear" w:color="auto" w:fill="auto"/>
            <w:hideMark/>
          </w:tcPr>
          <w:p w14:paraId="7E769A5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70CDA46"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4. Research Integrity and Ethics:</w:t>
            </w:r>
          </w:p>
        </w:tc>
        <w:tc>
          <w:tcPr>
            <w:tcW w:w="6762" w:type="dxa"/>
            <w:tcBorders>
              <w:top w:val="nil"/>
              <w:left w:val="nil"/>
              <w:bottom w:val="single" w:sz="4" w:space="0" w:color="auto"/>
              <w:right w:val="single" w:sz="4" w:space="0" w:color="auto"/>
            </w:tcBorders>
            <w:shd w:val="clear" w:color="auto" w:fill="auto"/>
            <w:hideMark/>
          </w:tcPr>
          <w:p w14:paraId="331E65E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30382AC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30AD5167"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C2EF23D"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30100CDD"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Research Integrity: </w:t>
            </w:r>
          </w:p>
        </w:tc>
        <w:tc>
          <w:tcPr>
            <w:tcW w:w="6762" w:type="dxa"/>
            <w:tcBorders>
              <w:top w:val="nil"/>
              <w:left w:val="nil"/>
              <w:bottom w:val="single" w:sz="4" w:space="0" w:color="auto"/>
              <w:right w:val="single" w:sz="4" w:space="0" w:color="auto"/>
            </w:tcBorders>
            <w:shd w:val="clear" w:color="auto" w:fill="auto"/>
            <w:hideMark/>
          </w:tcPr>
          <w:p w14:paraId="72CA5A1E"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Uphold principles of research integrity and ethical conduct, including honesty, transparency, objectivity, and accountability. Adhere to ethical standards and professional codes of conduct in the design, conduct, and dissemination of research findings, avoiding fabrication, falsification, plagiarism, or other forms of academic misconduct.</w:t>
            </w:r>
          </w:p>
        </w:tc>
        <w:tc>
          <w:tcPr>
            <w:tcW w:w="2566" w:type="dxa"/>
            <w:tcBorders>
              <w:top w:val="nil"/>
              <w:left w:val="nil"/>
              <w:bottom w:val="single" w:sz="4" w:space="0" w:color="auto"/>
              <w:right w:val="single" w:sz="4" w:space="0" w:color="auto"/>
            </w:tcBorders>
            <w:shd w:val="clear" w:color="auto" w:fill="auto"/>
            <w:hideMark/>
          </w:tcPr>
          <w:p w14:paraId="57F016F3"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A3183B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0418B031"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422BFE20"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Conflict of Interest: </w:t>
            </w:r>
          </w:p>
        </w:tc>
        <w:tc>
          <w:tcPr>
            <w:tcW w:w="6762" w:type="dxa"/>
            <w:tcBorders>
              <w:top w:val="nil"/>
              <w:left w:val="nil"/>
              <w:bottom w:val="single" w:sz="4" w:space="0" w:color="auto"/>
              <w:right w:val="single" w:sz="4" w:space="0" w:color="auto"/>
            </w:tcBorders>
            <w:shd w:val="clear" w:color="auto" w:fill="auto"/>
            <w:hideMark/>
          </w:tcPr>
          <w:p w14:paraId="2CC0DF8D"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Disclose and manage conflicts of interest that may arise from financial, personal, or professional relationships that could bias or influence the conduct or outcomes of the research. Maintain transparency and integrity in all interactions with funders, collaborators, and stakeholders, ensuring that research findings are impartial and unbiased.</w:t>
            </w:r>
          </w:p>
        </w:tc>
        <w:tc>
          <w:tcPr>
            <w:tcW w:w="2566" w:type="dxa"/>
            <w:tcBorders>
              <w:top w:val="nil"/>
              <w:left w:val="nil"/>
              <w:bottom w:val="single" w:sz="4" w:space="0" w:color="auto"/>
              <w:right w:val="single" w:sz="4" w:space="0" w:color="auto"/>
            </w:tcBorders>
            <w:shd w:val="clear" w:color="auto" w:fill="auto"/>
            <w:hideMark/>
          </w:tcPr>
          <w:p w14:paraId="7E4CFA76"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7755F01"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0895FCD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D1167E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1FCC9BD5"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0782FECB"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4868944"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7CCA781C"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7E6EC6B3"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5. Community Engagement and Stakeholder Consultation:</w:t>
            </w:r>
          </w:p>
        </w:tc>
        <w:tc>
          <w:tcPr>
            <w:tcW w:w="6762" w:type="dxa"/>
            <w:tcBorders>
              <w:top w:val="nil"/>
              <w:left w:val="nil"/>
              <w:bottom w:val="single" w:sz="4" w:space="0" w:color="auto"/>
              <w:right w:val="single" w:sz="4" w:space="0" w:color="auto"/>
            </w:tcBorders>
            <w:shd w:val="clear" w:color="auto" w:fill="auto"/>
            <w:hideMark/>
          </w:tcPr>
          <w:p w14:paraId="7AC9BD08"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2865CD6D"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17AB6B9E"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184CD829"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70D6A4B"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a. Community Consultation: </w:t>
            </w:r>
          </w:p>
        </w:tc>
        <w:tc>
          <w:tcPr>
            <w:tcW w:w="6762" w:type="dxa"/>
            <w:tcBorders>
              <w:top w:val="nil"/>
              <w:left w:val="nil"/>
              <w:bottom w:val="single" w:sz="4" w:space="0" w:color="auto"/>
              <w:right w:val="single" w:sz="4" w:space="0" w:color="auto"/>
            </w:tcBorders>
            <w:shd w:val="clear" w:color="auto" w:fill="auto"/>
            <w:hideMark/>
          </w:tcPr>
          <w:p w14:paraId="38B3B170"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Engage with affected communities, stakeholders, or indigenous groups to solicit their input, perspectives, and concerns regarding the project's objectives, methods, and potential impacts. Foster meaningful dialogue, collaboration, and partnership with community members to ensure their voices are heard and respected throughout the research process.</w:t>
            </w:r>
          </w:p>
        </w:tc>
        <w:tc>
          <w:tcPr>
            <w:tcW w:w="2566" w:type="dxa"/>
            <w:tcBorders>
              <w:top w:val="nil"/>
              <w:left w:val="nil"/>
              <w:bottom w:val="single" w:sz="4" w:space="0" w:color="auto"/>
              <w:right w:val="single" w:sz="4" w:space="0" w:color="auto"/>
            </w:tcBorders>
            <w:shd w:val="clear" w:color="auto" w:fill="auto"/>
            <w:hideMark/>
          </w:tcPr>
          <w:p w14:paraId="60AAE8A2"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48D00E38" w14:textId="77777777" w:rsidTr="0041317E">
        <w:trPr>
          <w:trHeight w:val="1248"/>
        </w:trPr>
        <w:tc>
          <w:tcPr>
            <w:tcW w:w="1349" w:type="dxa"/>
            <w:tcBorders>
              <w:top w:val="nil"/>
              <w:left w:val="single" w:sz="4" w:space="0" w:color="auto"/>
              <w:bottom w:val="single" w:sz="4" w:space="0" w:color="auto"/>
              <w:right w:val="single" w:sz="4" w:space="0" w:color="auto"/>
            </w:tcBorders>
            <w:shd w:val="clear" w:color="auto" w:fill="auto"/>
            <w:hideMark/>
          </w:tcPr>
          <w:p w14:paraId="264C3AEE"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57D8E95"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b. Equitable Participation: </w:t>
            </w:r>
          </w:p>
        </w:tc>
        <w:tc>
          <w:tcPr>
            <w:tcW w:w="6762" w:type="dxa"/>
            <w:tcBorders>
              <w:top w:val="nil"/>
              <w:left w:val="nil"/>
              <w:bottom w:val="single" w:sz="4" w:space="0" w:color="auto"/>
              <w:right w:val="single" w:sz="4" w:space="0" w:color="auto"/>
            </w:tcBorders>
            <w:shd w:val="clear" w:color="auto" w:fill="auto"/>
            <w:hideMark/>
          </w:tcPr>
          <w:p w14:paraId="4CD3C6F7"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Promote equitable participation and distribution of benefits from the project, especially among marginalized or vulnerable populations, by addressing power differentials, promoting inclusivity, and prioritizing community needs and priorities in project planning and decision-making.</w:t>
            </w:r>
          </w:p>
        </w:tc>
        <w:tc>
          <w:tcPr>
            <w:tcW w:w="2566" w:type="dxa"/>
            <w:tcBorders>
              <w:top w:val="nil"/>
              <w:left w:val="nil"/>
              <w:bottom w:val="single" w:sz="4" w:space="0" w:color="auto"/>
              <w:right w:val="single" w:sz="4" w:space="0" w:color="auto"/>
            </w:tcBorders>
            <w:shd w:val="clear" w:color="auto" w:fill="auto"/>
            <w:hideMark/>
          </w:tcPr>
          <w:p w14:paraId="7384CD97"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75DCA50A" w14:textId="77777777" w:rsidTr="0041317E">
        <w:trPr>
          <w:trHeight w:val="312"/>
        </w:trPr>
        <w:tc>
          <w:tcPr>
            <w:tcW w:w="1349" w:type="dxa"/>
            <w:tcBorders>
              <w:top w:val="nil"/>
              <w:left w:val="single" w:sz="4" w:space="0" w:color="auto"/>
              <w:bottom w:val="single" w:sz="4" w:space="0" w:color="auto"/>
              <w:right w:val="single" w:sz="4" w:space="0" w:color="auto"/>
            </w:tcBorders>
            <w:shd w:val="clear" w:color="auto" w:fill="auto"/>
            <w:hideMark/>
          </w:tcPr>
          <w:p w14:paraId="70BE57A0"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51349ACC"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w:t>
            </w:r>
          </w:p>
        </w:tc>
        <w:tc>
          <w:tcPr>
            <w:tcW w:w="6762" w:type="dxa"/>
            <w:tcBorders>
              <w:top w:val="nil"/>
              <w:left w:val="nil"/>
              <w:bottom w:val="single" w:sz="4" w:space="0" w:color="auto"/>
              <w:right w:val="single" w:sz="4" w:space="0" w:color="auto"/>
            </w:tcBorders>
            <w:shd w:val="clear" w:color="auto" w:fill="auto"/>
            <w:hideMark/>
          </w:tcPr>
          <w:p w14:paraId="6A235FBF"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w:t>
            </w:r>
          </w:p>
        </w:tc>
        <w:tc>
          <w:tcPr>
            <w:tcW w:w="2566" w:type="dxa"/>
            <w:tcBorders>
              <w:top w:val="nil"/>
              <w:left w:val="nil"/>
              <w:bottom w:val="single" w:sz="4" w:space="0" w:color="auto"/>
              <w:right w:val="single" w:sz="4" w:space="0" w:color="auto"/>
            </w:tcBorders>
            <w:shd w:val="clear" w:color="auto" w:fill="auto"/>
            <w:hideMark/>
          </w:tcPr>
          <w:p w14:paraId="6A1D01D8"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r w:rsidR="0041317E" w:rsidRPr="0041317E" w14:paraId="66CD1591" w14:textId="77777777" w:rsidTr="0041317E">
        <w:trPr>
          <w:trHeight w:val="1560"/>
        </w:trPr>
        <w:tc>
          <w:tcPr>
            <w:tcW w:w="1349" w:type="dxa"/>
            <w:tcBorders>
              <w:top w:val="nil"/>
              <w:left w:val="single" w:sz="4" w:space="0" w:color="auto"/>
              <w:bottom w:val="single" w:sz="4" w:space="0" w:color="auto"/>
              <w:right w:val="single" w:sz="4" w:space="0" w:color="auto"/>
            </w:tcBorders>
            <w:shd w:val="clear" w:color="auto" w:fill="auto"/>
            <w:hideMark/>
          </w:tcPr>
          <w:p w14:paraId="2CB46E37" w14:textId="77777777" w:rsidR="0041317E" w:rsidRPr="0041317E" w:rsidRDefault="0041317E" w:rsidP="0041317E">
            <w:pPr>
              <w:spacing w:after="0" w:line="240" w:lineRule="auto"/>
              <w:jc w:val="right"/>
              <w:rPr>
                <w:rFonts w:ascii="Calibri" w:eastAsia="Times New Roman" w:hAnsi="Calibri" w:cs="Calibri"/>
                <w:b/>
                <w:bCs/>
                <w:color w:val="000000"/>
                <w:kern w:val="0"/>
                <w:sz w:val="20"/>
                <w:szCs w:val="20"/>
                <w14:ligatures w14:val="none"/>
              </w:rPr>
            </w:pPr>
            <w:r w:rsidRPr="0041317E">
              <w:rPr>
                <w:rFonts w:ascii="Calibri" w:eastAsia="Times New Roman" w:hAnsi="Calibri" w:cs="Calibri"/>
                <w:b/>
                <w:bCs/>
                <w:color w:val="000000"/>
                <w:kern w:val="0"/>
                <w:sz w:val="20"/>
                <w:szCs w:val="20"/>
                <w14:ligatures w14:val="none"/>
              </w:rPr>
              <w:t> </w:t>
            </w:r>
          </w:p>
        </w:tc>
        <w:tc>
          <w:tcPr>
            <w:tcW w:w="2363" w:type="dxa"/>
            <w:tcBorders>
              <w:top w:val="nil"/>
              <w:left w:val="nil"/>
              <w:bottom w:val="single" w:sz="4" w:space="0" w:color="auto"/>
              <w:right w:val="single" w:sz="4" w:space="0" w:color="auto"/>
            </w:tcBorders>
            <w:shd w:val="clear" w:color="auto" w:fill="auto"/>
            <w:hideMark/>
          </w:tcPr>
          <w:p w14:paraId="20F4F7F1" w14:textId="77777777" w:rsidR="0041317E" w:rsidRPr="0041317E" w:rsidRDefault="0041317E" w:rsidP="0041317E">
            <w:pPr>
              <w:spacing w:after="0" w:line="240" w:lineRule="auto"/>
              <w:jc w:val="right"/>
              <w:rPr>
                <w:rFonts w:ascii="Calibri Light" w:eastAsia="Times New Roman" w:hAnsi="Calibri Light" w:cs="Calibri Light"/>
                <w:b/>
                <w:bCs/>
                <w:color w:val="000000"/>
                <w:kern w:val="0"/>
                <w:sz w:val="24"/>
                <w:szCs w:val="24"/>
                <w14:ligatures w14:val="none"/>
              </w:rPr>
            </w:pPr>
            <w:r w:rsidRPr="0041317E">
              <w:rPr>
                <w:rFonts w:ascii="Calibri Light" w:eastAsia="Times New Roman" w:hAnsi="Calibri Light" w:cs="Calibri Light"/>
                <w:b/>
                <w:bCs/>
                <w:color w:val="000000"/>
                <w:kern w:val="0"/>
                <w:sz w:val="24"/>
                <w:szCs w:val="24"/>
                <w14:ligatures w14:val="none"/>
              </w:rPr>
              <w:t xml:space="preserve">6. Conclusion: </w:t>
            </w:r>
          </w:p>
        </w:tc>
        <w:tc>
          <w:tcPr>
            <w:tcW w:w="6762" w:type="dxa"/>
            <w:tcBorders>
              <w:top w:val="nil"/>
              <w:left w:val="nil"/>
              <w:bottom w:val="single" w:sz="4" w:space="0" w:color="auto"/>
              <w:right w:val="single" w:sz="4" w:space="0" w:color="auto"/>
            </w:tcBorders>
            <w:shd w:val="clear" w:color="auto" w:fill="auto"/>
            <w:hideMark/>
          </w:tcPr>
          <w:p w14:paraId="70D8A8B9" w14:textId="77777777" w:rsidR="0041317E" w:rsidRPr="0041317E" w:rsidRDefault="0041317E" w:rsidP="0041317E">
            <w:pPr>
              <w:spacing w:after="0" w:line="240" w:lineRule="auto"/>
              <w:rPr>
                <w:rFonts w:ascii="Calibri Light" w:eastAsia="Times New Roman" w:hAnsi="Calibri Light" w:cs="Calibri Light"/>
                <w:color w:val="000000"/>
                <w:kern w:val="0"/>
                <w:sz w:val="24"/>
                <w:szCs w:val="24"/>
                <w14:ligatures w14:val="none"/>
              </w:rPr>
            </w:pPr>
            <w:r w:rsidRPr="0041317E">
              <w:rPr>
                <w:rFonts w:ascii="Calibri Light" w:eastAsia="Times New Roman" w:hAnsi="Calibri Light" w:cs="Calibri Light"/>
                <w:color w:val="000000"/>
                <w:kern w:val="0"/>
                <w:sz w:val="24"/>
                <w:szCs w:val="24"/>
                <w14:ligatures w14:val="none"/>
              </w:rPr>
              <w:t xml:space="preserve">By addressing ethical considerations related to data privacy, informed consent, societal and environmental impacts, research integrity, and community engagement, you can ensure that the project upholds ethical standards, respects the rights and interests of stakeholders, and maximizes positive impacts while minimizing potential harms. </w:t>
            </w:r>
          </w:p>
        </w:tc>
        <w:tc>
          <w:tcPr>
            <w:tcW w:w="2566" w:type="dxa"/>
            <w:tcBorders>
              <w:top w:val="nil"/>
              <w:left w:val="nil"/>
              <w:bottom w:val="single" w:sz="4" w:space="0" w:color="auto"/>
              <w:right w:val="single" w:sz="4" w:space="0" w:color="auto"/>
            </w:tcBorders>
            <w:shd w:val="clear" w:color="auto" w:fill="auto"/>
            <w:hideMark/>
          </w:tcPr>
          <w:p w14:paraId="42CDA8AF" w14:textId="77777777" w:rsidR="0041317E" w:rsidRPr="0041317E" w:rsidRDefault="0041317E" w:rsidP="0041317E">
            <w:pPr>
              <w:spacing w:after="0" w:line="240" w:lineRule="auto"/>
              <w:rPr>
                <w:rFonts w:ascii="Calibri Light" w:eastAsia="Times New Roman" w:hAnsi="Calibri Light" w:cs="Calibri Light"/>
                <w:i/>
                <w:iCs/>
                <w:color w:val="000000"/>
                <w:kern w:val="0"/>
                <w14:ligatures w14:val="none"/>
              </w:rPr>
            </w:pPr>
            <w:r w:rsidRPr="0041317E">
              <w:rPr>
                <w:rFonts w:ascii="Calibri Light" w:eastAsia="Times New Roman" w:hAnsi="Calibri Light" w:cs="Calibri Light"/>
                <w:i/>
                <w:iCs/>
                <w:color w:val="000000"/>
                <w:kern w:val="0"/>
                <w14:ligatures w14:val="none"/>
              </w:rPr>
              <w:t> </w:t>
            </w:r>
          </w:p>
        </w:tc>
      </w:tr>
    </w:tbl>
    <w:p w14:paraId="1E0D400C" w14:textId="77777777" w:rsidR="00060653" w:rsidRDefault="00060653"/>
    <w:sectPr w:rsidR="00060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17E"/>
    <w:rsid w:val="00060653"/>
    <w:rsid w:val="0041317E"/>
    <w:rsid w:val="009319FD"/>
    <w:rsid w:val="00F950D4"/>
    <w:rsid w:val="00FC0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90128"/>
  <w15:chartTrackingRefBased/>
  <w15:docId w15:val="{11194595-2A6A-4D3F-BD31-B3AF98E1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317E"/>
    <w:rPr>
      <w:color w:val="0563C1"/>
      <w:u w:val="single"/>
    </w:rPr>
  </w:style>
  <w:style w:type="character" w:styleId="FollowedHyperlink">
    <w:name w:val="FollowedHyperlink"/>
    <w:basedOn w:val="DefaultParagraphFont"/>
    <w:uiPriority w:val="99"/>
    <w:semiHidden/>
    <w:unhideWhenUsed/>
    <w:rsid w:val="0041317E"/>
    <w:rPr>
      <w:color w:val="954F72"/>
      <w:u w:val="single"/>
    </w:rPr>
  </w:style>
  <w:style w:type="paragraph" w:customStyle="1" w:styleId="msonormal0">
    <w:name w:val="msonormal"/>
    <w:basedOn w:val="Normal"/>
    <w:rsid w:val="0041317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63">
    <w:name w:val="xl63"/>
    <w:basedOn w:val="Normal"/>
    <w:rsid w:val="0041317E"/>
    <w:pPr>
      <w:spacing w:before="100" w:beforeAutospacing="1" w:after="100" w:afterAutospacing="1" w:line="240" w:lineRule="auto"/>
      <w:textAlignment w:val="top"/>
    </w:pPr>
    <w:rPr>
      <w:rFonts w:ascii="Times New Roman" w:eastAsia="Times New Roman" w:hAnsi="Times New Roman" w:cs="Times New Roman"/>
      <w:kern w:val="0"/>
      <w:sz w:val="24"/>
      <w:szCs w:val="24"/>
      <w14:ligatures w14:val="none"/>
    </w:rPr>
  </w:style>
  <w:style w:type="paragraph" w:customStyle="1" w:styleId="xl64">
    <w:name w:val="xl64"/>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kern w:val="0"/>
      <w:sz w:val="20"/>
      <w:szCs w:val="20"/>
      <w14:ligatures w14:val="none"/>
    </w:rPr>
  </w:style>
  <w:style w:type="paragraph" w:customStyle="1" w:styleId="xl65">
    <w:name w:val="xl65"/>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kern w:val="0"/>
      <w:sz w:val="36"/>
      <w:szCs w:val="36"/>
      <w14:ligatures w14:val="none"/>
    </w:rPr>
  </w:style>
  <w:style w:type="paragraph" w:customStyle="1" w:styleId="xl66">
    <w:name w:val="xl66"/>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i/>
      <w:iCs/>
      <w:kern w:val="0"/>
      <w:sz w:val="36"/>
      <w:szCs w:val="36"/>
      <w14:ligatures w14:val="none"/>
    </w:rPr>
  </w:style>
  <w:style w:type="paragraph" w:customStyle="1" w:styleId="xl67">
    <w:name w:val="xl67"/>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kern w:val="0"/>
      <w:sz w:val="24"/>
      <w:szCs w:val="24"/>
      <w14:ligatures w14:val="none"/>
    </w:rPr>
  </w:style>
  <w:style w:type="paragraph" w:customStyle="1" w:styleId="xl68">
    <w:name w:val="xl68"/>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i/>
      <w:iCs/>
      <w:kern w:val="0"/>
      <w:sz w:val="24"/>
      <w:szCs w:val="24"/>
      <w:u w:val="single"/>
      <w14:ligatures w14:val="none"/>
    </w:rPr>
  </w:style>
  <w:style w:type="paragraph" w:customStyle="1" w:styleId="xl69">
    <w:name w:val="xl69"/>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i/>
      <w:iCs/>
      <w:kern w:val="0"/>
      <w:sz w:val="24"/>
      <w:szCs w:val="24"/>
      <w14:ligatures w14:val="none"/>
    </w:rPr>
  </w:style>
  <w:style w:type="paragraph" w:customStyle="1" w:styleId="xl70">
    <w:name w:val="xl70"/>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color w:val="0D0D0D"/>
      <w:kern w:val="0"/>
      <w:sz w:val="24"/>
      <w:szCs w:val="24"/>
      <w14:ligatures w14:val="none"/>
    </w:rPr>
  </w:style>
  <w:style w:type="paragraph" w:customStyle="1" w:styleId="xl71">
    <w:name w:val="xl71"/>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i/>
      <w:iCs/>
      <w:color w:val="0D0D0D"/>
      <w:kern w:val="0"/>
      <w:sz w:val="24"/>
      <w:szCs w:val="24"/>
      <w14:ligatures w14:val="none"/>
    </w:rPr>
  </w:style>
  <w:style w:type="paragraph" w:customStyle="1" w:styleId="xl72">
    <w:name w:val="xl72"/>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color w:val="0D0D0D"/>
      <w:kern w:val="0"/>
      <w:sz w:val="24"/>
      <w:szCs w:val="24"/>
      <w14:ligatures w14:val="none"/>
    </w:rPr>
  </w:style>
  <w:style w:type="paragraph" w:customStyle="1" w:styleId="xl73">
    <w:name w:val="xl73"/>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Calibri Light" w:eastAsia="Times New Roman" w:hAnsi="Calibri Light" w:cs="Calibri Light"/>
      <w:b/>
      <w:bCs/>
      <w:kern w:val="0"/>
      <w:sz w:val="24"/>
      <w:szCs w:val="24"/>
      <w14:ligatures w14:val="none"/>
    </w:rPr>
  </w:style>
  <w:style w:type="paragraph" w:customStyle="1" w:styleId="xl74">
    <w:name w:val="xl74"/>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Light" w:eastAsia="Times New Roman" w:hAnsi="Calibri Light" w:cs="Calibri Light"/>
      <w:kern w:val="0"/>
      <w:sz w:val="24"/>
      <w:szCs w:val="24"/>
      <w14:ligatures w14:val="none"/>
    </w:rPr>
  </w:style>
  <w:style w:type="paragraph" w:customStyle="1" w:styleId="xl75">
    <w:name w:val="xl75"/>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Calibri Light" w:eastAsia="Times New Roman" w:hAnsi="Calibri Light" w:cs="Calibri Light"/>
      <w:b/>
      <w:bCs/>
      <w:kern w:val="0"/>
      <w:sz w:val="36"/>
      <w:szCs w:val="36"/>
      <w14:ligatures w14:val="none"/>
    </w:rPr>
  </w:style>
  <w:style w:type="paragraph" w:customStyle="1" w:styleId="xl76">
    <w:name w:val="xl76"/>
    <w:basedOn w:val="Normal"/>
    <w:rsid w:val="0041317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Calibri Light" w:eastAsia="Times New Roman" w:hAnsi="Calibri Light" w:cs="Calibri Light"/>
      <w:b/>
      <w:bCs/>
      <w:color w:val="0D0D0D"/>
      <w:kern w:val="0"/>
      <w:sz w:val="24"/>
      <w:szCs w:val="24"/>
      <w14:ligatures w14:val="none"/>
    </w:rPr>
  </w:style>
  <w:style w:type="paragraph" w:customStyle="1" w:styleId="xl77">
    <w:name w:val="xl77"/>
    <w:basedOn w:val="Normal"/>
    <w:rsid w:val="0041317E"/>
    <w:pPr>
      <w:pBdr>
        <w:top w:val="single" w:sz="4" w:space="0" w:color="auto"/>
        <w:left w:val="single" w:sz="4" w:space="0" w:color="auto"/>
        <w:bottom w:val="single" w:sz="4" w:space="0" w:color="auto"/>
        <w:right w:val="single" w:sz="4" w:space="18" w:color="auto"/>
      </w:pBdr>
      <w:spacing w:before="100" w:beforeAutospacing="1" w:after="100" w:afterAutospacing="1" w:line="240" w:lineRule="auto"/>
      <w:ind w:firstLineChars="100"/>
      <w:jc w:val="right"/>
      <w:textAlignment w:val="top"/>
    </w:pPr>
    <w:rPr>
      <w:rFonts w:ascii="Calibri Light" w:eastAsia="Times New Roman" w:hAnsi="Calibri Light" w:cs="Calibri Light"/>
      <w:b/>
      <w:bCs/>
      <w:color w:val="0D0D0D"/>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5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62272</Words>
  <Characters>354951</Characters>
  <Application>Microsoft Office Word</Application>
  <DocSecurity>0</DocSecurity>
  <Lines>2957</Lines>
  <Paragraphs>832</Paragraphs>
  <ScaleCrop>false</ScaleCrop>
  <Company/>
  <LinksUpToDate>false</LinksUpToDate>
  <CharactersWithSpaces>416391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Brodsky</dc:creator>
  <cp:keywords/>
  <dc:description/>
  <cp:lastModifiedBy>Jason Brodsky</cp:lastModifiedBy>
  <cp:revision>1</cp:revision>
  <dcterms:created xsi:type="dcterms:W3CDTF">2024-05-12T20:16:00Z</dcterms:created>
  <dcterms:modified xsi:type="dcterms:W3CDTF">2024-05-12T20:17:00Z</dcterms:modified>
</cp:coreProperties>
</file>